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69245" w14:textId="33845261" w:rsidR="003A2430" w:rsidRPr="003A2430" w:rsidRDefault="00930D84" w:rsidP="003A2430">
      <w:pPr>
        <w:shd w:val="clear" w:color="auto" w:fill="F5F5F5"/>
        <w:spacing w:before="225" w:after="225" w:line="525" w:lineRule="atLeast"/>
        <w:outlineLvl w:val="0"/>
        <w:rPr>
          <w:rFonts w:ascii="Times New Roman" w:eastAsia="Times New Roman" w:hAnsi="Times New Roman" w:cs="Times New Roman"/>
          <w:b/>
          <w:bCs/>
          <w:color w:val="1E1E1E"/>
          <w:kern w:val="36"/>
          <w:sz w:val="32"/>
          <w:szCs w:val="32"/>
          <w:lang w:eastAsia="cs-CZ"/>
        </w:rPr>
      </w:pPr>
      <w:r>
        <w:rPr>
          <w:rFonts w:ascii="Times New Roman" w:eastAsia="Times New Roman" w:hAnsi="Times New Roman" w:cs="Times New Roman"/>
          <w:b/>
          <w:bCs/>
          <w:color w:val="1E1E1E"/>
          <w:kern w:val="36"/>
          <w:sz w:val="32"/>
          <w:szCs w:val="32"/>
          <w:lang w:eastAsia="cs-CZ"/>
        </w:rPr>
        <w:t>Na burze v Londýně c</w:t>
      </w:r>
      <w:r w:rsidR="003A2430" w:rsidRPr="003A2430">
        <w:rPr>
          <w:rFonts w:ascii="Times New Roman" w:eastAsia="Times New Roman" w:hAnsi="Times New Roman" w:cs="Times New Roman"/>
          <w:b/>
          <w:bCs/>
          <w:color w:val="1E1E1E"/>
          <w:kern w:val="36"/>
          <w:sz w:val="32"/>
          <w:szCs w:val="32"/>
          <w:lang w:eastAsia="cs-CZ"/>
        </w:rPr>
        <w:t>eny průmyslových kovů dál rostou, nejdéle za 11 let</w:t>
      </w:r>
      <w:r w:rsidR="00730D4C" w:rsidRPr="00C73771">
        <w:rPr>
          <w:rFonts w:ascii="Times New Roman" w:eastAsia="Times New Roman" w:hAnsi="Times New Roman" w:cs="Times New Roman"/>
          <w:b/>
          <w:bCs/>
          <w:color w:val="1E1E1E"/>
          <w:kern w:val="36"/>
          <w:sz w:val="32"/>
          <w:szCs w:val="32"/>
          <w:lang w:eastAsia="cs-CZ"/>
        </w:rPr>
        <w:t>. Druhotné suroviny spíše stagnují.</w:t>
      </w:r>
      <w:r w:rsidR="001B3E01">
        <w:rPr>
          <w:rFonts w:ascii="Times New Roman" w:eastAsia="Times New Roman" w:hAnsi="Times New Roman" w:cs="Times New Roman"/>
          <w:b/>
          <w:bCs/>
          <w:color w:val="1E1E1E"/>
          <w:kern w:val="36"/>
          <w:sz w:val="32"/>
          <w:szCs w:val="32"/>
          <w:lang w:eastAsia="cs-CZ"/>
        </w:rPr>
        <w:t xml:space="preserve"> Budou mít politici Číny poslední slovo?</w:t>
      </w:r>
    </w:p>
    <w:p w14:paraId="34662C98" w14:textId="77777777" w:rsidR="003A2430" w:rsidRPr="003A2430" w:rsidRDefault="003A2430" w:rsidP="003A2430">
      <w:pPr>
        <w:shd w:val="clear" w:color="auto" w:fill="F5F5F5"/>
        <w:spacing w:after="0" w:line="240" w:lineRule="auto"/>
        <w:rPr>
          <w:rFonts w:ascii="Times New Roman" w:eastAsia="Times New Roman" w:hAnsi="Times New Roman" w:cs="Times New Roman"/>
          <w:color w:val="1E1E1E"/>
          <w:sz w:val="23"/>
          <w:szCs w:val="23"/>
          <w:lang w:eastAsia="cs-CZ"/>
        </w:rPr>
      </w:pPr>
    </w:p>
    <w:p w14:paraId="4EC9A0A7" w14:textId="6FC15A26" w:rsidR="003A2430" w:rsidRPr="003A2430" w:rsidRDefault="003A2430" w:rsidP="003A2430">
      <w:pPr>
        <w:shd w:val="clear" w:color="auto" w:fill="F5F5F5"/>
        <w:tabs>
          <w:tab w:val="right" w:pos="9072"/>
        </w:tabs>
        <w:spacing w:after="0" w:line="300" w:lineRule="atLeast"/>
        <w:rPr>
          <w:rFonts w:ascii="Times New Roman" w:eastAsia="Times New Roman" w:hAnsi="Times New Roman" w:cs="Times New Roman"/>
          <w:color w:val="989898"/>
          <w:sz w:val="21"/>
          <w:szCs w:val="21"/>
          <w:lang w:eastAsia="cs-CZ"/>
        </w:rPr>
      </w:pPr>
      <w:r w:rsidRPr="00C73771">
        <w:rPr>
          <w:rFonts w:ascii="Times New Roman" w:eastAsia="Times New Roman" w:hAnsi="Times New Roman" w:cs="Times New Roman"/>
          <w:color w:val="989898"/>
          <w:sz w:val="21"/>
          <w:szCs w:val="21"/>
          <w:lang w:eastAsia="cs-CZ"/>
        </w:rPr>
        <w:tab/>
      </w:r>
    </w:p>
    <w:p w14:paraId="282513EA" w14:textId="213A44BB" w:rsidR="003A2430" w:rsidRPr="003A2430" w:rsidRDefault="00730D4C" w:rsidP="003A2430">
      <w:pPr>
        <w:shd w:val="clear" w:color="auto" w:fill="F5F5F5"/>
        <w:spacing w:after="0" w:line="360" w:lineRule="atLeast"/>
        <w:rPr>
          <w:rFonts w:ascii="Times New Roman" w:eastAsia="Times New Roman" w:hAnsi="Times New Roman" w:cs="Times New Roman"/>
          <w:b/>
          <w:bCs/>
          <w:color w:val="1E1E1E"/>
          <w:sz w:val="24"/>
          <w:szCs w:val="24"/>
          <w:lang w:eastAsia="cs-CZ"/>
        </w:rPr>
      </w:pPr>
      <w:r w:rsidRPr="00C73771">
        <w:rPr>
          <w:rFonts w:ascii="Times New Roman" w:eastAsia="Times New Roman" w:hAnsi="Times New Roman" w:cs="Times New Roman"/>
          <w:b/>
          <w:bCs/>
          <w:color w:val="1E1E1E"/>
          <w:sz w:val="24"/>
          <w:szCs w:val="24"/>
          <w:lang w:eastAsia="cs-CZ"/>
        </w:rPr>
        <w:t>Jak uvádí E15.CZ, která čerpala ze zprávy ČTK, c</w:t>
      </w:r>
      <w:r w:rsidR="003A2430" w:rsidRPr="003A2430">
        <w:rPr>
          <w:rFonts w:ascii="Times New Roman" w:eastAsia="Times New Roman" w:hAnsi="Times New Roman" w:cs="Times New Roman"/>
          <w:b/>
          <w:bCs/>
          <w:color w:val="1E1E1E"/>
          <w:sz w:val="24"/>
          <w:szCs w:val="24"/>
          <w:lang w:eastAsia="cs-CZ"/>
        </w:rPr>
        <w:t>eny průmyslových kovů, včetně mědi nebo hliníku, se na burze v Londýně už sedmým týdnem zvyšují. Je to nejdelší růst od roku 2006, kdy se ceny zvyšovaly devět týdnů za sebou. Investoři jsou optimističtí hlavně díky Číně, která je největším světovým spotřebitelem kovů a kde se poptávka drží vysoko, zatímco politici prosazují reformy, které by měly omezit nabídku.</w:t>
      </w:r>
    </w:p>
    <w:tbl>
      <w:tblPr>
        <w:tblW w:w="7200" w:type="dxa"/>
        <w:jc w:val="center"/>
        <w:tblCellMar>
          <w:top w:w="15" w:type="dxa"/>
          <w:left w:w="15" w:type="dxa"/>
          <w:bottom w:w="15" w:type="dxa"/>
          <w:right w:w="15" w:type="dxa"/>
        </w:tblCellMar>
        <w:tblLook w:val="04A0" w:firstRow="1" w:lastRow="0" w:firstColumn="1" w:lastColumn="0" w:noHBand="0" w:noVBand="1"/>
      </w:tblPr>
      <w:tblGrid>
        <w:gridCol w:w="7200"/>
      </w:tblGrid>
      <w:tr w:rsidR="003A2430" w:rsidRPr="003A2430" w14:paraId="287D0EA1" w14:textId="77777777" w:rsidTr="003A2430">
        <w:trPr>
          <w:jc w:val="center"/>
        </w:trPr>
        <w:tc>
          <w:tcPr>
            <w:tcW w:w="0" w:type="auto"/>
            <w:vAlign w:val="center"/>
            <w:hideMark/>
          </w:tcPr>
          <w:p w14:paraId="3179CB67" w14:textId="77777777" w:rsidR="003A2430" w:rsidRPr="003A2430" w:rsidRDefault="003A2430" w:rsidP="003A2430">
            <w:pPr>
              <w:spacing w:after="0" w:line="240" w:lineRule="auto"/>
              <w:rPr>
                <w:rFonts w:ascii="Times New Roman" w:eastAsia="Times New Roman" w:hAnsi="Times New Roman" w:cs="Times New Roman"/>
                <w:b/>
                <w:bCs/>
                <w:color w:val="1E1E1E"/>
                <w:sz w:val="27"/>
                <w:szCs w:val="27"/>
                <w:lang w:eastAsia="cs-CZ"/>
              </w:rPr>
            </w:pPr>
          </w:p>
        </w:tc>
      </w:tr>
      <w:tr w:rsidR="003A2430" w:rsidRPr="003A2430" w14:paraId="09621D06" w14:textId="77777777" w:rsidTr="003A2430">
        <w:trPr>
          <w:jc w:val="center"/>
        </w:trPr>
        <w:tc>
          <w:tcPr>
            <w:tcW w:w="0" w:type="auto"/>
            <w:shd w:val="clear" w:color="auto" w:fill="auto"/>
            <w:tcMar>
              <w:top w:w="0" w:type="dxa"/>
              <w:left w:w="0" w:type="dxa"/>
              <w:bottom w:w="0" w:type="dxa"/>
              <w:right w:w="0" w:type="dxa"/>
            </w:tcMar>
            <w:vAlign w:val="center"/>
            <w:hideMark/>
          </w:tcPr>
          <w:tbl>
            <w:tblPr>
              <w:tblW w:w="7200" w:type="dxa"/>
              <w:jc w:val="center"/>
              <w:tblCellMar>
                <w:top w:w="15" w:type="dxa"/>
                <w:left w:w="15" w:type="dxa"/>
                <w:bottom w:w="15" w:type="dxa"/>
                <w:right w:w="15" w:type="dxa"/>
              </w:tblCellMar>
              <w:tblLook w:val="04A0" w:firstRow="1" w:lastRow="0" w:firstColumn="1" w:lastColumn="0" w:noHBand="0" w:noVBand="1"/>
            </w:tblPr>
            <w:tblGrid>
              <w:gridCol w:w="7200"/>
            </w:tblGrid>
            <w:tr w:rsidR="003A2430" w:rsidRPr="003A2430" w14:paraId="7FB7EB66" w14:textId="77777777">
              <w:trPr>
                <w:jc w:val="center"/>
              </w:trPr>
              <w:tc>
                <w:tcPr>
                  <w:tcW w:w="0" w:type="auto"/>
                  <w:vAlign w:val="center"/>
                  <w:hideMark/>
                </w:tcPr>
                <w:p w14:paraId="60A6F2A7" w14:textId="77777777" w:rsidR="003A2430" w:rsidRPr="003A2430" w:rsidRDefault="003A2430" w:rsidP="003A2430">
                  <w:pPr>
                    <w:spacing w:after="0" w:line="240" w:lineRule="auto"/>
                    <w:rPr>
                      <w:rFonts w:ascii="Times New Roman" w:eastAsia="Times New Roman" w:hAnsi="Times New Roman" w:cs="Times New Roman"/>
                      <w:sz w:val="20"/>
                      <w:szCs w:val="20"/>
                      <w:lang w:eastAsia="cs-CZ"/>
                    </w:rPr>
                  </w:pPr>
                </w:p>
              </w:tc>
            </w:tr>
          </w:tbl>
          <w:p w14:paraId="4DCE9620" w14:textId="77777777" w:rsidR="003A2430" w:rsidRPr="003A2430" w:rsidRDefault="003A2430" w:rsidP="003A2430">
            <w:pPr>
              <w:spacing w:after="0" w:line="240" w:lineRule="auto"/>
              <w:rPr>
                <w:rFonts w:ascii="Times New Roman" w:eastAsia="Times New Roman" w:hAnsi="Times New Roman" w:cs="Times New Roman"/>
                <w:color w:val="1E1E1E"/>
                <w:sz w:val="24"/>
                <w:szCs w:val="24"/>
                <w:lang w:eastAsia="cs-CZ"/>
              </w:rPr>
            </w:pPr>
          </w:p>
        </w:tc>
      </w:tr>
      <w:tr w:rsidR="003A2430" w:rsidRPr="003A2430" w14:paraId="6532ADB5" w14:textId="77777777" w:rsidTr="003A2430">
        <w:trPr>
          <w:jc w:val="center"/>
        </w:trPr>
        <w:tc>
          <w:tcPr>
            <w:tcW w:w="0" w:type="auto"/>
            <w:vAlign w:val="center"/>
            <w:hideMark/>
          </w:tcPr>
          <w:p w14:paraId="14002907" w14:textId="77777777" w:rsidR="003A2430" w:rsidRPr="003A2430" w:rsidRDefault="003A2430" w:rsidP="003A2430">
            <w:pPr>
              <w:spacing w:after="0" w:line="240" w:lineRule="auto"/>
              <w:rPr>
                <w:rFonts w:ascii="Times New Roman" w:eastAsia="Times New Roman" w:hAnsi="Times New Roman" w:cs="Times New Roman"/>
                <w:sz w:val="20"/>
                <w:szCs w:val="20"/>
                <w:lang w:eastAsia="cs-CZ"/>
              </w:rPr>
            </w:pPr>
          </w:p>
        </w:tc>
      </w:tr>
      <w:tr w:rsidR="003A2430" w:rsidRPr="003A2430" w14:paraId="5E0FCA1D" w14:textId="77777777" w:rsidTr="003A2430">
        <w:trPr>
          <w:jc w:val="center"/>
        </w:trPr>
        <w:tc>
          <w:tcPr>
            <w:tcW w:w="0" w:type="auto"/>
            <w:shd w:val="clear" w:color="auto" w:fill="auto"/>
            <w:tcMar>
              <w:top w:w="0" w:type="dxa"/>
              <w:left w:w="0" w:type="dxa"/>
              <w:bottom w:w="0" w:type="dxa"/>
              <w:right w:w="0" w:type="dxa"/>
            </w:tcMar>
            <w:vAlign w:val="center"/>
            <w:hideMark/>
          </w:tcPr>
          <w:p w14:paraId="643EF37C" w14:textId="77777777" w:rsidR="003A2430" w:rsidRPr="003A2430" w:rsidRDefault="003A2430" w:rsidP="003A2430">
            <w:pPr>
              <w:spacing w:after="0" w:line="240" w:lineRule="auto"/>
              <w:jc w:val="right"/>
              <w:rPr>
                <w:rFonts w:ascii="Times New Roman" w:eastAsia="Times New Roman" w:hAnsi="Times New Roman" w:cs="Times New Roman"/>
                <w:color w:val="1E1E1E"/>
                <w:sz w:val="14"/>
                <w:szCs w:val="14"/>
                <w:lang w:eastAsia="cs-CZ"/>
              </w:rPr>
            </w:pPr>
            <w:r w:rsidRPr="003A2430">
              <w:rPr>
                <w:rFonts w:ascii="Times New Roman" w:eastAsia="Times New Roman" w:hAnsi="Times New Roman" w:cs="Times New Roman"/>
                <w:color w:val="1E1E1E"/>
                <w:sz w:val="14"/>
                <w:szCs w:val="14"/>
                <w:lang w:eastAsia="cs-CZ"/>
              </w:rPr>
              <w:t>reklama</w:t>
            </w:r>
          </w:p>
        </w:tc>
      </w:tr>
    </w:tbl>
    <w:p w14:paraId="1EC9B439" w14:textId="1AB5C4CC" w:rsidR="003A2430" w:rsidRPr="003A2430" w:rsidRDefault="003A2430" w:rsidP="003A2430">
      <w:pPr>
        <w:shd w:val="clear" w:color="auto" w:fill="F5F5F5"/>
        <w:spacing w:after="0" w:line="240" w:lineRule="auto"/>
        <w:rPr>
          <w:rFonts w:ascii="Times New Roman" w:eastAsia="Times New Roman" w:hAnsi="Times New Roman" w:cs="Times New Roman"/>
          <w:color w:val="1E1E1E"/>
          <w:sz w:val="24"/>
          <w:szCs w:val="24"/>
          <w:lang w:eastAsia="cs-CZ"/>
        </w:rPr>
      </w:pPr>
      <w:r w:rsidRPr="003A2430">
        <w:rPr>
          <w:rFonts w:ascii="Times New Roman" w:eastAsia="Times New Roman" w:hAnsi="Times New Roman" w:cs="Times New Roman"/>
          <w:color w:val="1E1E1E"/>
          <w:sz w:val="24"/>
          <w:szCs w:val="24"/>
          <w:lang w:eastAsia="cs-CZ"/>
        </w:rPr>
        <w:t xml:space="preserve">Index LME za první čtyři dny stoupl o 2,4 procenta a v růstu pokračuje i dnes. Index roste nejdéle od doby před globální finanční krizí, od které průmyslové kovy ještě zcela neoživily. Je nyní na nejvyšší úrovni od roku 2014. Index londýnské burzy kovů sleduje vývoj cen šesti </w:t>
      </w:r>
      <w:r w:rsidR="00C73771" w:rsidRPr="00C73771">
        <w:rPr>
          <w:rFonts w:ascii="Times New Roman" w:eastAsia="Times New Roman" w:hAnsi="Times New Roman" w:cs="Times New Roman"/>
          <w:color w:val="1E1E1E"/>
          <w:sz w:val="24"/>
          <w:szCs w:val="24"/>
          <w:lang w:eastAsia="cs-CZ"/>
        </w:rPr>
        <w:t xml:space="preserve">neželezných </w:t>
      </w:r>
      <w:r w:rsidRPr="003A2430">
        <w:rPr>
          <w:rFonts w:ascii="Times New Roman" w:eastAsia="Times New Roman" w:hAnsi="Times New Roman" w:cs="Times New Roman"/>
          <w:color w:val="1E1E1E"/>
          <w:sz w:val="24"/>
          <w:szCs w:val="24"/>
          <w:lang w:eastAsia="cs-CZ"/>
        </w:rPr>
        <w:t>kovů - hliníku, mědi, zinku, olova, niklu a cínu.</w:t>
      </w:r>
    </w:p>
    <w:p w14:paraId="3B13A195" w14:textId="7E157D88" w:rsidR="003A2430" w:rsidRPr="003A2430" w:rsidRDefault="003A2430" w:rsidP="003A2430">
      <w:pPr>
        <w:shd w:val="clear" w:color="auto" w:fill="F5F5F5"/>
        <w:spacing w:after="0" w:line="240" w:lineRule="auto"/>
        <w:rPr>
          <w:rFonts w:ascii="Times New Roman" w:eastAsia="Times New Roman" w:hAnsi="Times New Roman" w:cs="Times New Roman"/>
          <w:color w:val="1E1E1E"/>
          <w:sz w:val="24"/>
          <w:szCs w:val="24"/>
          <w:lang w:eastAsia="cs-CZ"/>
        </w:rPr>
      </w:pPr>
      <w:r w:rsidRPr="003A2430">
        <w:rPr>
          <w:rFonts w:ascii="Times New Roman" w:eastAsia="Times New Roman" w:hAnsi="Times New Roman" w:cs="Times New Roman"/>
          <w:color w:val="1E1E1E"/>
          <w:sz w:val="24"/>
          <w:szCs w:val="24"/>
          <w:lang w:eastAsia="cs-CZ"/>
        </w:rPr>
        <w:t>Investoři kupují hliník kvůli obavám, že opatření Číny, která mají snížit kapacitu a zpřísnit ekologické kontroly, omezí nabídku</w:t>
      </w:r>
      <w:r w:rsidR="00C73771" w:rsidRPr="00C73771">
        <w:rPr>
          <w:rFonts w:ascii="Times New Roman" w:eastAsia="Times New Roman" w:hAnsi="Times New Roman" w:cs="Times New Roman"/>
          <w:color w:val="1E1E1E"/>
          <w:sz w:val="24"/>
          <w:szCs w:val="24"/>
          <w:lang w:eastAsia="cs-CZ"/>
        </w:rPr>
        <w:t xml:space="preserve"> </w:t>
      </w:r>
      <w:r w:rsidR="00C73771" w:rsidRPr="00CA1616">
        <w:rPr>
          <w:rFonts w:ascii="Times New Roman" w:eastAsia="Times New Roman" w:hAnsi="Times New Roman" w:cs="Times New Roman"/>
          <w:i/>
          <w:color w:val="1E1E1E"/>
          <w:sz w:val="24"/>
          <w:szCs w:val="24"/>
          <w:u w:val="single"/>
          <w:lang w:eastAsia="cs-CZ"/>
        </w:rPr>
        <w:t>(o jaká opatření jde, jsme informovali n našich www)</w:t>
      </w:r>
      <w:r w:rsidRPr="003A2430">
        <w:rPr>
          <w:rFonts w:ascii="Times New Roman" w:eastAsia="Times New Roman" w:hAnsi="Times New Roman" w:cs="Times New Roman"/>
          <w:i/>
          <w:color w:val="1E1E1E"/>
          <w:sz w:val="24"/>
          <w:szCs w:val="24"/>
          <w:lang w:eastAsia="cs-CZ"/>
        </w:rPr>
        <w:t xml:space="preserve">. </w:t>
      </w:r>
      <w:r w:rsidRPr="003A2430">
        <w:rPr>
          <w:rFonts w:ascii="Times New Roman" w:eastAsia="Times New Roman" w:hAnsi="Times New Roman" w:cs="Times New Roman"/>
          <w:color w:val="1E1E1E"/>
          <w:sz w:val="24"/>
          <w:szCs w:val="24"/>
          <w:lang w:eastAsia="cs-CZ"/>
        </w:rPr>
        <w:t>Zinek těží také z náznaků poklesu produkce dolů, která tlačí trh hlouběji do deficitu.</w:t>
      </w:r>
    </w:p>
    <w:p w14:paraId="7B2AB7C7" w14:textId="77777777" w:rsidR="003A2430" w:rsidRPr="003A2430" w:rsidRDefault="003A2430" w:rsidP="003A2430">
      <w:pPr>
        <w:shd w:val="clear" w:color="auto" w:fill="F5F5F5"/>
        <w:spacing w:after="0" w:line="240" w:lineRule="auto"/>
        <w:rPr>
          <w:rFonts w:ascii="Times New Roman" w:eastAsia="Times New Roman" w:hAnsi="Times New Roman" w:cs="Times New Roman"/>
          <w:color w:val="1E1E1E"/>
          <w:sz w:val="24"/>
          <w:szCs w:val="24"/>
          <w:lang w:eastAsia="cs-CZ"/>
        </w:rPr>
      </w:pPr>
      <w:r w:rsidRPr="003A2430">
        <w:rPr>
          <w:rFonts w:ascii="Times New Roman" w:eastAsia="Times New Roman" w:hAnsi="Times New Roman" w:cs="Times New Roman"/>
          <w:color w:val="1E1E1E"/>
          <w:sz w:val="24"/>
          <w:szCs w:val="24"/>
          <w:lang w:eastAsia="cs-CZ"/>
        </w:rPr>
        <w:t>Citigroup tento týden zlepšila svůj výhled pro řadu kovů. Podle ní trhy překvapila tvrdá realizace reforem v Číně. Zástupce chilského producenta kovů Antofagasta televizi Bloomberg TV řekl, že nevidí důvod, proč by dobré časy neměly pokračovat.</w:t>
      </w:r>
    </w:p>
    <w:p w14:paraId="30D947A7" w14:textId="77777777" w:rsidR="003A2430" w:rsidRPr="003A2430" w:rsidRDefault="003A2430" w:rsidP="003A2430">
      <w:pPr>
        <w:shd w:val="clear" w:color="auto" w:fill="F5F5F5"/>
        <w:spacing w:after="0" w:line="240" w:lineRule="auto"/>
        <w:rPr>
          <w:rFonts w:ascii="Times New Roman" w:eastAsia="Times New Roman" w:hAnsi="Times New Roman" w:cs="Times New Roman"/>
          <w:color w:val="1E1E1E"/>
          <w:sz w:val="24"/>
          <w:szCs w:val="24"/>
          <w:lang w:eastAsia="cs-CZ"/>
        </w:rPr>
      </w:pPr>
    </w:p>
    <w:p w14:paraId="1A9E9CF9" w14:textId="77777777" w:rsidR="003A2430" w:rsidRPr="003A2430" w:rsidRDefault="003A2430" w:rsidP="003A2430">
      <w:pPr>
        <w:shd w:val="clear" w:color="auto" w:fill="F5F5F5"/>
        <w:spacing w:after="0" w:line="240" w:lineRule="auto"/>
        <w:rPr>
          <w:rFonts w:ascii="Times New Roman" w:eastAsia="Times New Roman" w:hAnsi="Times New Roman" w:cs="Times New Roman"/>
          <w:color w:val="1E1E1E"/>
          <w:sz w:val="24"/>
          <w:szCs w:val="24"/>
          <w:lang w:eastAsia="cs-CZ"/>
        </w:rPr>
      </w:pPr>
      <w:r w:rsidRPr="003A2430">
        <w:rPr>
          <w:rFonts w:ascii="Times New Roman" w:eastAsia="Times New Roman" w:hAnsi="Times New Roman" w:cs="Times New Roman"/>
          <w:color w:val="1E1E1E"/>
          <w:sz w:val="24"/>
          <w:szCs w:val="24"/>
          <w:lang w:eastAsia="cs-CZ"/>
        </w:rPr>
        <w:t> </w:t>
      </w:r>
    </w:p>
    <w:p w14:paraId="51F8C4FD" w14:textId="33AF2D04" w:rsidR="003A2430" w:rsidRPr="003A2430" w:rsidRDefault="003A2430" w:rsidP="003A2430">
      <w:pPr>
        <w:shd w:val="clear" w:color="auto" w:fill="F5F5F5"/>
        <w:spacing w:after="0" w:line="240" w:lineRule="auto"/>
        <w:rPr>
          <w:rFonts w:ascii="Times New Roman" w:eastAsia="Times New Roman" w:hAnsi="Times New Roman" w:cs="Times New Roman"/>
          <w:color w:val="1E1E1E"/>
          <w:sz w:val="24"/>
          <w:szCs w:val="24"/>
          <w:lang w:eastAsia="cs-CZ"/>
        </w:rPr>
      </w:pPr>
      <w:r w:rsidRPr="003A2430">
        <w:rPr>
          <w:rFonts w:ascii="Times New Roman" w:eastAsia="Times New Roman" w:hAnsi="Times New Roman" w:cs="Times New Roman"/>
          <w:color w:val="1E1E1E"/>
          <w:sz w:val="24"/>
          <w:szCs w:val="24"/>
          <w:lang w:eastAsia="cs-CZ"/>
        </w:rPr>
        <w:t>"Intenzita reforem Číny na straně dodávek</w:t>
      </w:r>
      <w:r w:rsidR="00C73771" w:rsidRPr="00C73771">
        <w:rPr>
          <w:rFonts w:ascii="Times New Roman" w:eastAsia="Times New Roman" w:hAnsi="Times New Roman" w:cs="Times New Roman"/>
          <w:color w:val="1E1E1E"/>
          <w:sz w:val="24"/>
          <w:szCs w:val="24"/>
          <w:lang w:eastAsia="cs-CZ"/>
        </w:rPr>
        <w:t>,</w:t>
      </w:r>
      <w:r w:rsidRPr="003A2430">
        <w:rPr>
          <w:rFonts w:ascii="Times New Roman" w:eastAsia="Times New Roman" w:hAnsi="Times New Roman" w:cs="Times New Roman"/>
          <w:color w:val="1E1E1E"/>
          <w:sz w:val="24"/>
          <w:szCs w:val="24"/>
          <w:lang w:eastAsia="cs-CZ"/>
        </w:rPr>
        <w:t xml:space="preserve"> uplatněná v několika minulých měsících</w:t>
      </w:r>
      <w:r w:rsidR="00C73771" w:rsidRPr="00C73771">
        <w:rPr>
          <w:rFonts w:ascii="Times New Roman" w:eastAsia="Times New Roman" w:hAnsi="Times New Roman" w:cs="Times New Roman"/>
          <w:color w:val="1E1E1E"/>
          <w:sz w:val="24"/>
          <w:szCs w:val="24"/>
          <w:lang w:eastAsia="cs-CZ"/>
        </w:rPr>
        <w:t>,</w:t>
      </w:r>
      <w:r w:rsidRPr="003A2430">
        <w:rPr>
          <w:rFonts w:ascii="Times New Roman" w:eastAsia="Times New Roman" w:hAnsi="Times New Roman" w:cs="Times New Roman"/>
          <w:color w:val="1E1E1E"/>
          <w:sz w:val="24"/>
          <w:szCs w:val="24"/>
          <w:lang w:eastAsia="cs-CZ"/>
        </w:rPr>
        <w:t xml:space="preserve"> poskytla trhu důvěru, že již tak omezená dynamika nabídky se po zbytek roku dále napne," uvedl analytik Standard Chartered Bank Nicholas Snowdon. Upozornil, že </w:t>
      </w:r>
      <w:r w:rsidRPr="003A2430">
        <w:rPr>
          <w:rFonts w:ascii="Times New Roman" w:eastAsia="Times New Roman" w:hAnsi="Times New Roman" w:cs="Times New Roman"/>
          <w:color w:val="1E1E1E"/>
          <w:sz w:val="24"/>
          <w:szCs w:val="24"/>
          <w:u w:val="single"/>
          <w:lang w:eastAsia="cs-CZ"/>
        </w:rPr>
        <w:t>nabídka většiny kovů od počátku letošního roku zpomaluje, i když ceny rostou a zvyšují se marže pro výrobce.</w:t>
      </w:r>
    </w:p>
    <w:p w14:paraId="4FA9F128" w14:textId="77777777" w:rsidR="003A2430" w:rsidRDefault="003A2430" w:rsidP="003A2430">
      <w:pPr>
        <w:shd w:val="clear" w:color="auto" w:fill="F5F5F5"/>
        <w:spacing w:after="0" w:line="240" w:lineRule="auto"/>
        <w:rPr>
          <w:rFonts w:ascii="Times New Roman" w:eastAsia="Times New Roman" w:hAnsi="Times New Roman" w:cs="Times New Roman"/>
          <w:color w:val="1E1E1E"/>
          <w:sz w:val="24"/>
          <w:szCs w:val="24"/>
          <w:lang w:eastAsia="cs-CZ"/>
        </w:rPr>
      </w:pPr>
      <w:r w:rsidRPr="003A2430">
        <w:rPr>
          <w:rFonts w:ascii="Times New Roman" w:eastAsia="Times New Roman" w:hAnsi="Times New Roman" w:cs="Times New Roman"/>
          <w:color w:val="1E1E1E"/>
          <w:sz w:val="24"/>
          <w:szCs w:val="24"/>
          <w:lang w:eastAsia="cs-CZ"/>
        </w:rPr>
        <w:t>Tento týden cena mědi stoupla na nejvyšší hodnotu od listopadu 2013. Hliník je nejdražší od února 2013 a zažil letos nejvyšší růst z šesti průmyslových kovů. Od začátku roku cena hliníku vzrostla o 24 procent. Cena zinku tento týden stoupla nejvýše za deset let a niklu od listopadu 2016.</w:t>
      </w:r>
    </w:p>
    <w:p w14:paraId="3E8CA122" w14:textId="77777777" w:rsidR="00287EA1" w:rsidRDefault="00287EA1" w:rsidP="003A2430">
      <w:pPr>
        <w:shd w:val="clear" w:color="auto" w:fill="F5F5F5"/>
        <w:spacing w:after="0" w:line="240" w:lineRule="auto"/>
        <w:rPr>
          <w:rFonts w:ascii="Times New Roman" w:eastAsia="Times New Roman" w:hAnsi="Times New Roman" w:cs="Times New Roman"/>
          <w:color w:val="1E1E1E"/>
          <w:sz w:val="24"/>
          <w:szCs w:val="24"/>
          <w:lang w:eastAsia="cs-CZ"/>
        </w:rPr>
      </w:pPr>
      <w:bookmarkStart w:id="0" w:name="_GoBack"/>
      <w:bookmarkEnd w:id="0"/>
    </w:p>
    <w:p w14:paraId="2B841D2B" w14:textId="31EB0BE5" w:rsidR="00CA1616" w:rsidRDefault="00CA1616" w:rsidP="003A2430">
      <w:pPr>
        <w:shd w:val="clear" w:color="auto" w:fill="F5F5F5"/>
        <w:spacing w:after="0" w:line="240" w:lineRule="auto"/>
        <w:rPr>
          <w:rFonts w:ascii="Times New Roman" w:eastAsia="Times New Roman" w:hAnsi="Times New Roman" w:cs="Times New Roman"/>
          <w:color w:val="1E1E1E"/>
          <w:sz w:val="24"/>
          <w:szCs w:val="24"/>
          <w:lang w:eastAsia="cs-CZ"/>
        </w:rPr>
      </w:pPr>
      <w:r>
        <w:rPr>
          <w:rFonts w:ascii="Times New Roman" w:eastAsia="Times New Roman" w:hAnsi="Times New Roman" w:cs="Times New Roman"/>
          <w:color w:val="1E1E1E"/>
          <w:sz w:val="24"/>
          <w:szCs w:val="24"/>
          <w:lang w:eastAsia="cs-CZ"/>
        </w:rPr>
        <w:t xml:space="preserve">Zatím co poptávka po vyjmenovaných neželezných kovech roste, jejich cena stoupá, stejné komodity druhotných surovin </w:t>
      </w:r>
      <w:r w:rsidR="002907CC">
        <w:rPr>
          <w:rFonts w:ascii="Times New Roman" w:eastAsia="Times New Roman" w:hAnsi="Times New Roman" w:cs="Times New Roman"/>
          <w:color w:val="1E1E1E"/>
          <w:sz w:val="24"/>
          <w:szCs w:val="24"/>
          <w:lang w:eastAsia="cs-CZ"/>
        </w:rPr>
        <w:t xml:space="preserve">spíše </w:t>
      </w:r>
      <w:r>
        <w:rPr>
          <w:rFonts w:ascii="Times New Roman" w:eastAsia="Times New Roman" w:hAnsi="Times New Roman" w:cs="Times New Roman"/>
          <w:color w:val="1E1E1E"/>
          <w:sz w:val="24"/>
          <w:szCs w:val="24"/>
          <w:lang w:eastAsia="cs-CZ"/>
        </w:rPr>
        <w:t xml:space="preserve">stagnují. Tedy aspoň na našem českém trhu. Stačí se podívat na ceny, které výkupny druhotných surovin </w:t>
      </w:r>
      <w:r w:rsidR="0015203C">
        <w:rPr>
          <w:rFonts w:ascii="Times New Roman" w:eastAsia="Times New Roman" w:hAnsi="Times New Roman" w:cs="Times New Roman"/>
          <w:color w:val="1E1E1E"/>
          <w:sz w:val="24"/>
          <w:szCs w:val="24"/>
          <w:lang w:eastAsia="cs-CZ"/>
        </w:rPr>
        <w:t xml:space="preserve">za </w:t>
      </w:r>
      <w:r w:rsidR="002907CC">
        <w:rPr>
          <w:rFonts w:ascii="Times New Roman" w:eastAsia="Times New Roman" w:hAnsi="Times New Roman" w:cs="Times New Roman"/>
          <w:color w:val="1E1E1E"/>
          <w:sz w:val="24"/>
          <w:szCs w:val="24"/>
          <w:lang w:eastAsia="cs-CZ"/>
        </w:rPr>
        <w:t xml:space="preserve">výše zmíněné komodity </w:t>
      </w:r>
      <w:r>
        <w:rPr>
          <w:rFonts w:ascii="Times New Roman" w:eastAsia="Times New Roman" w:hAnsi="Times New Roman" w:cs="Times New Roman"/>
          <w:color w:val="1E1E1E"/>
          <w:sz w:val="24"/>
          <w:szCs w:val="24"/>
          <w:lang w:eastAsia="cs-CZ"/>
        </w:rPr>
        <w:t>nabízejí</w:t>
      </w:r>
      <w:r w:rsidR="002907CC">
        <w:rPr>
          <w:rFonts w:ascii="Times New Roman" w:eastAsia="Times New Roman" w:hAnsi="Times New Roman" w:cs="Times New Roman"/>
          <w:color w:val="1E1E1E"/>
          <w:sz w:val="24"/>
          <w:szCs w:val="24"/>
          <w:lang w:eastAsia="cs-CZ"/>
        </w:rPr>
        <w:t xml:space="preserve">. </w:t>
      </w:r>
    </w:p>
    <w:p w14:paraId="4917D249" w14:textId="6C106E6F" w:rsidR="0015203C" w:rsidRPr="003A2430" w:rsidRDefault="0015203C" w:rsidP="003A2430">
      <w:pPr>
        <w:shd w:val="clear" w:color="auto" w:fill="F5F5F5"/>
        <w:spacing w:after="0" w:line="240" w:lineRule="auto"/>
        <w:rPr>
          <w:rFonts w:ascii="Times New Roman" w:eastAsia="Times New Roman" w:hAnsi="Times New Roman" w:cs="Times New Roman"/>
          <w:color w:val="1E1E1E"/>
          <w:sz w:val="24"/>
          <w:szCs w:val="24"/>
          <w:lang w:eastAsia="cs-CZ"/>
        </w:rPr>
      </w:pPr>
      <w:r>
        <w:rPr>
          <w:rFonts w:ascii="Times New Roman" w:eastAsia="Times New Roman" w:hAnsi="Times New Roman" w:cs="Times New Roman"/>
          <w:color w:val="1E1E1E"/>
          <w:sz w:val="24"/>
          <w:szCs w:val="24"/>
          <w:lang w:eastAsia="cs-CZ"/>
        </w:rPr>
        <w:t>Je také patrný regionální vliv na ceny.</w:t>
      </w:r>
      <w:r w:rsidR="0095230A">
        <w:rPr>
          <w:rFonts w:ascii="Times New Roman" w:eastAsia="Times New Roman" w:hAnsi="Times New Roman" w:cs="Times New Roman"/>
          <w:color w:val="1E1E1E"/>
          <w:sz w:val="24"/>
          <w:szCs w:val="24"/>
          <w:lang w:eastAsia="cs-CZ"/>
        </w:rPr>
        <w:t xml:space="preserve"> U železných kovů se rozdíly pohybuji v řádu haléřů až korun a neovlivní je ani agresivní reklama, která se v poslední době u některých výkupen objevuje.</w:t>
      </w:r>
    </w:p>
    <w:p w14:paraId="0E3C6C40" w14:textId="77777777" w:rsidR="001C4374" w:rsidRDefault="001C4374"/>
    <w:sectPr w:rsidR="001C43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30"/>
    <w:rsid w:val="0015203C"/>
    <w:rsid w:val="001B3E01"/>
    <w:rsid w:val="001C4374"/>
    <w:rsid w:val="00287EA1"/>
    <w:rsid w:val="002907CC"/>
    <w:rsid w:val="003A2430"/>
    <w:rsid w:val="00730D4C"/>
    <w:rsid w:val="008E00C9"/>
    <w:rsid w:val="00930D84"/>
    <w:rsid w:val="0095230A"/>
    <w:rsid w:val="00C73771"/>
    <w:rsid w:val="00CA1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B084"/>
  <w15:chartTrackingRefBased/>
  <w15:docId w15:val="{10E3A551-3842-46A5-9A17-D49F2A7B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3A24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3A243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A2430"/>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3A2430"/>
    <w:rPr>
      <w:rFonts w:ascii="Times New Roman" w:eastAsia="Times New Roman" w:hAnsi="Times New Roman" w:cs="Times New Roman"/>
      <w:b/>
      <w:bCs/>
      <w:sz w:val="36"/>
      <w:szCs w:val="36"/>
      <w:lang w:eastAsia="cs-CZ"/>
    </w:rPr>
  </w:style>
  <w:style w:type="character" w:styleId="Zdraznn">
    <w:name w:val="Emphasis"/>
    <w:basedOn w:val="Standardnpsmoodstavce"/>
    <w:uiPriority w:val="20"/>
    <w:qFormat/>
    <w:rsid w:val="003A2430"/>
    <w:rPr>
      <w:i/>
      <w:iCs/>
    </w:rPr>
  </w:style>
  <w:style w:type="paragraph" w:styleId="Normlnweb">
    <w:name w:val="Normal (Web)"/>
    <w:basedOn w:val="Normln"/>
    <w:uiPriority w:val="99"/>
    <w:semiHidden/>
    <w:unhideWhenUsed/>
    <w:rsid w:val="003A243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3A2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360979">
      <w:bodyDiv w:val="1"/>
      <w:marLeft w:val="0"/>
      <w:marRight w:val="0"/>
      <w:marTop w:val="0"/>
      <w:marBottom w:val="0"/>
      <w:divBdr>
        <w:top w:val="none" w:sz="0" w:space="0" w:color="auto"/>
        <w:left w:val="none" w:sz="0" w:space="0" w:color="auto"/>
        <w:bottom w:val="none" w:sz="0" w:space="0" w:color="auto"/>
        <w:right w:val="none" w:sz="0" w:space="0" w:color="auto"/>
      </w:divBdr>
      <w:divsChild>
        <w:div w:id="1810131506">
          <w:marLeft w:val="0"/>
          <w:marRight w:val="0"/>
          <w:marTop w:val="300"/>
          <w:marBottom w:val="0"/>
          <w:divBdr>
            <w:top w:val="none" w:sz="0" w:space="0" w:color="auto"/>
            <w:left w:val="none" w:sz="0" w:space="0" w:color="auto"/>
            <w:bottom w:val="none" w:sz="0" w:space="0" w:color="auto"/>
            <w:right w:val="none" w:sz="0" w:space="0" w:color="auto"/>
          </w:divBdr>
          <w:divsChild>
            <w:div w:id="24789816">
              <w:marLeft w:val="0"/>
              <w:marRight w:val="0"/>
              <w:marTop w:val="0"/>
              <w:marBottom w:val="0"/>
              <w:divBdr>
                <w:top w:val="none" w:sz="0" w:space="0" w:color="auto"/>
                <w:left w:val="none" w:sz="0" w:space="0" w:color="auto"/>
                <w:bottom w:val="none" w:sz="0" w:space="0" w:color="auto"/>
                <w:right w:val="none" w:sz="0" w:space="0" w:color="auto"/>
              </w:divBdr>
            </w:div>
            <w:div w:id="1315260267">
              <w:marLeft w:val="0"/>
              <w:marRight w:val="0"/>
              <w:marTop w:val="0"/>
              <w:marBottom w:val="0"/>
              <w:divBdr>
                <w:top w:val="none" w:sz="0" w:space="0" w:color="auto"/>
                <w:left w:val="none" w:sz="0" w:space="0" w:color="auto"/>
                <w:bottom w:val="none" w:sz="0" w:space="0" w:color="auto"/>
                <w:right w:val="none" w:sz="0" w:space="0" w:color="auto"/>
              </w:divBdr>
            </w:div>
          </w:divsChild>
        </w:div>
        <w:div w:id="961422762">
          <w:marLeft w:val="0"/>
          <w:marRight w:val="0"/>
          <w:marTop w:val="0"/>
          <w:marBottom w:val="0"/>
          <w:divBdr>
            <w:top w:val="none" w:sz="0" w:space="0" w:color="auto"/>
            <w:left w:val="none" w:sz="0" w:space="0" w:color="auto"/>
            <w:bottom w:val="none" w:sz="0" w:space="0" w:color="auto"/>
            <w:right w:val="none" w:sz="0" w:space="0" w:color="auto"/>
          </w:divBdr>
          <w:divsChild>
            <w:div w:id="1187409022">
              <w:marLeft w:val="0"/>
              <w:marRight w:val="0"/>
              <w:marTop w:val="0"/>
              <w:marBottom w:val="0"/>
              <w:divBdr>
                <w:top w:val="none" w:sz="0" w:space="0" w:color="auto"/>
                <w:left w:val="none" w:sz="0" w:space="0" w:color="auto"/>
                <w:bottom w:val="none" w:sz="0" w:space="0" w:color="auto"/>
                <w:right w:val="none" w:sz="0" w:space="0" w:color="auto"/>
              </w:divBdr>
              <w:divsChild>
                <w:div w:id="15568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4355">
          <w:marLeft w:val="0"/>
          <w:marRight w:val="0"/>
          <w:marTop w:val="0"/>
          <w:marBottom w:val="0"/>
          <w:divBdr>
            <w:top w:val="single" w:sz="6" w:space="11" w:color="DCDCDC"/>
            <w:left w:val="none" w:sz="0" w:space="0" w:color="auto"/>
            <w:bottom w:val="single" w:sz="6" w:space="11" w:color="DCDCDC"/>
            <w:right w:val="none" w:sz="0" w:space="0" w:color="auto"/>
          </w:divBdr>
          <w:divsChild>
            <w:div w:id="740254792">
              <w:marLeft w:val="0"/>
              <w:marRight w:val="0"/>
              <w:marTop w:val="0"/>
              <w:marBottom w:val="0"/>
              <w:divBdr>
                <w:top w:val="none" w:sz="0" w:space="0" w:color="auto"/>
                <w:left w:val="none" w:sz="0" w:space="0" w:color="auto"/>
                <w:bottom w:val="none" w:sz="0" w:space="0" w:color="auto"/>
                <w:right w:val="none" w:sz="0" w:space="0" w:color="auto"/>
              </w:divBdr>
              <w:divsChild>
                <w:div w:id="521286571">
                  <w:marLeft w:val="0"/>
                  <w:marRight w:val="0"/>
                  <w:marTop w:val="0"/>
                  <w:marBottom w:val="0"/>
                  <w:divBdr>
                    <w:top w:val="none" w:sz="0" w:space="0" w:color="auto"/>
                    <w:left w:val="none" w:sz="0" w:space="0" w:color="auto"/>
                    <w:bottom w:val="none" w:sz="0" w:space="0" w:color="auto"/>
                    <w:right w:val="none" w:sz="0" w:space="0" w:color="auto"/>
                  </w:divBdr>
                  <w:divsChild>
                    <w:div w:id="20928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367</Words>
  <Characters>2166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Miller</dc:creator>
  <cp:keywords/>
  <dc:description/>
  <cp:lastModifiedBy>Petr Miller</cp:lastModifiedBy>
  <cp:revision>8</cp:revision>
  <dcterms:created xsi:type="dcterms:W3CDTF">2017-08-26T09:38:00Z</dcterms:created>
  <dcterms:modified xsi:type="dcterms:W3CDTF">2017-08-26T10:19:00Z</dcterms:modified>
</cp:coreProperties>
</file>