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6DD0" w:rsidRDefault="00A76DD0"/>
    <w:tbl>
      <w:tblPr>
        <w:tblStyle w:val="TableGrid"/>
        <w:tblW w:w="9351" w:type="dxa"/>
        <w:shd w:val="clear" w:color="auto" w:fill="1F497D" w:themeFill="text2"/>
        <w:tblLook w:val="04A0" w:firstRow="1" w:lastRow="0" w:firstColumn="1" w:lastColumn="0" w:noHBand="0" w:noVBand="1"/>
      </w:tblPr>
      <w:tblGrid>
        <w:gridCol w:w="9351"/>
      </w:tblGrid>
      <w:tr w:rsidR="00583682" w:rsidRPr="00EC0D1F" w:rsidTr="008147EE">
        <w:tc>
          <w:tcPr>
            <w:tcW w:w="9351" w:type="dxa"/>
            <w:shd w:val="clear" w:color="auto" w:fill="1F497D" w:themeFill="text2"/>
          </w:tcPr>
          <w:p w:rsidR="008147EE" w:rsidRPr="00EC0D1F" w:rsidRDefault="008147EE" w:rsidP="00A76DD0">
            <w:pPr>
              <w:spacing w:before="120" w:after="120"/>
              <w:jc w:val="center"/>
              <w:rPr>
                <w:rFonts w:asciiTheme="minorHAnsi" w:hAnsiTheme="minorHAnsi"/>
              </w:rPr>
            </w:pPr>
            <w:r w:rsidRPr="00E73E24">
              <w:rPr>
                <w:rFonts w:asciiTheme="minorHAnsi" w:hAnsiTheme="minorHAnsi"/>
                <w:b/>
                <w:color w:val="FFFFFF" w:themeColor="background1"/>
                <w:sz w:val="30"/>
                <w:szCs w:val="30"/>
              </w:rPr>
              <w:t xml:space="preserve">EuRIC position on </w:t>
            </w:r>
            <w:r w:rsidR="00A76DD0">
              <w:rPr>
                <w:rFonts w:asciiTheme="minorHAnsi" w:hAnsiTheme="minorHAnsi"/>
                <w:b/>
                <w:color w:val="FFFFFF" w:themeColor="background1"/>
                <w:sz w:val="30"/>
                <w:szCs w:val="30"/>
              </w:rPr>
              <w:t>supporting a comprehensive mechanism for end-of-waste criteria at EU and national levels</w:t>
            </w:r>
            <w:r>
              <w:rPr>
                <w:rFonts w:asciiTheme="minorHAnsi" w:hAnsiTheme="minorHAnsi"/>
                <w:b/>
                <w:color w:val="FFFFFF" w:themeColor="background1"/>
                <w:sz w:val="32"/>
                <w:szCs w:val="32"/>
              </w:rPr>
              <w:t xml:space="preserve"> </w:t>
            </w:r>
          </w:p>
        </w:tc>
      </w:tr>
    </w:tbl>
    <w:p w:rsidR="00807FBD" w:rsidRPr="00890322" w:rsidRDefault="00807FBD" w:rsidP="00A76DD0">
      <w:pPr>
        <w:spacing w:before="360"/>
        <w:rPr>
          <w:rFonts w:asciiTheme="minorHAnsi" w:hAnsiTheme="minorHAnsi"/>
          <w:color w:val="002060"/>
          <w:sz w:val="22"/>
          <w:szCs w:val="22"/>
        </w:rPr>
      </w:pPr>
      <w:r w:rsidRPr="00890322">
        <w:rPr>
          <w:rFonts w:asciiTheme="minorHAnsi" w:hAnsiTheme="minorHAnsi"/>
          <w:color w:val="002060"/>
          <w:sz w:val="22"/>
          <w:szCs w:val="22"/>
        </w:rPr>
        <w:t xml:space="preserve">Turning waste into new resources to re-introduce them into new cycles is </w:t>
      </w:r>
      <w:r w:rsidR="001F1780">
        <w:rPr>
          <w:rFonts w:asciiTheme="minorHAnsi" w:hAnsiTheme="minorHAnsi"/>
          <w:color w:val="002060"/>
          <w:sz w:val="22"/>
          <w:szCs w:val="22"/>
        </w:rPr>
        <w:t>a key cornerstone</w:t>
      </w:r>
      <w:r w:rsidRPr="00890322">
        <w:rPr>
          <w:rFonts w:asciiTheme="minorHAnsi" w:hAnsiTheme="minorHAnsi"/>
          <w:color w:val="002060"/>
          <w:sz w:val="22"/>
          <w:szCs w:val="22"/>
        </w:rPr>
        <w:t xml:space="preserve"> of a circular economy. Legal certainty </w:t>
      </w:r>
      <w:r w:rsidR="001F1780">
        <w:rPr>
          <w:rFonts w:asciiTheme="minorHAnsi" w:hAnsiTheme="minorHAnsi"/>
          <w:color w:val="002060"/>
          <w:sz w:val="22"/>
          <w:szCs w:val="22"/>
        </w:rPr>
        <w:t>as regards</w:t>
      </w:r>
      <w:r w:rsidRPr="00890322">
        <w:rPr>
          <w:rFonts w:asciiTheme="minorHAnsi" w:hAnsiTheme="minorHAnsi"/>
          <w:color w:val="002060"/>
          <w:sz w:val="22"/>
          <w:szCs w:val="22"/>
        </w:rPr>
        <w:t xml:space="preserve"> when waste ceases to be waste is instrumental when turning waste into new resources for many reasons:</w:t>
      </w:r>
    </w:p>
    <w:p w:rsidR="00807FBD" w:rsidRPr="00890322" w:rsidRDefault="00807FBD" w:rsidP="00A76DD0">
      <w:pPr>
        <w:pStyle w:val="ListParagraph"/>
        <w:numPr>
          <w:ilvl w:val="0"/>
          <w:numId w:val="3"/>
        </w:numPr>
        <w:tabs>
          <w:tab w:val="num" w:pos="720"/>
        </w:tabs>
        <w:ind w:left="502"/>
        <w:jc w:val="both"/>
        <w:rPr>
          <w:rFonts w:asciiTheme="minorHAnsi" w:hAnsiTheme="minorHAnsi"/>
          <w:color w:val="002060"/>
          <w:sz w:val="22"/>
          <w:szCs w:val="22"/>
        </w:rPr>
      </w:pPr>
      <w:r w:rsidRPr="00890322">
        <w:rPr>
          <w:rFonts w:asciiTheme="minorHAnsi" w:hAnsiTheme="minorHAnsi"/>
          <w:color w:val="002060"/>
          <w:sz w:val="22"/>
          <w:szCs w:val="22"/>
        </w:rPr>
        <w:t xml:space="preserve">First, </w:t>
      </w:r>
      <w:r w:rsidR="00255FF9" w:rsidRPr="00890322">
        <w:rPr>
          <w:rFonts w:asciiTheme="minorHAnsi" w:hAnsiTheme="minorHAnsi"/>
          <w:color w:val="002060"/>
          <w:sz w:val="22"/>
          <w:szCs w:val="22"/>
        </w:rPr>
        <w:t>in terms of</w:t>
      </w:r>
      <w:r w:rsidRPr="00890322">
        <w:rPr>
          <w:rFonts w:asciiTheme="minorHAnsi" w:hAnsiTheme="minorHAnsi"/>
          <w:color w:val="002060"/>
          <w:sz w:val="22"/>
          <w:szCs w:val="22"/>
        </w:rPr>
        <w:t xml:space="preserve"> legal certainty</w:t>
      </w:r>
      <w:r w:rsidR="00255FF9" w:rsidRPr="00890322">
        <w:rPr>
          <w:rFonts w:asciiTheme="minorHAnsi" w:hAnsiTheme="minorHAnsi"/>
          <w:color w:val="002060"/>
          <w:sz w:val="22"/>
          <w:szCs w:val="22"/>
        </w:rPr>
        <w:t xml:space="preserve"> for operators across the value chain</w:t>
      </w:r>
      <w:r w:rsidRPr="00890322">
        <w:rPr>
          <w:rFonts w:asciiTheme="minorHAnsi" w:hAnsiTheme="minorHAnsi"/>
          <w:color w:val="002060"/>
          <w:sz w:val="22"/>
          <w:szCs w:val="22"/>
        </w:rPr>
        <w:t>, since the waste or product status determines the entire legal status applicable to recycled materials</w:t>
      </w:r>
      <w:r w:rsidR="00255FF9" w:rsidRPr="00890322">
        <w:rPr>
          <w:rFonts w:asciiTheme="minorHAnsi" w:hAnsiTheme="minorHAnsi"/>
          <w:color w:val="002060"/>
          <w:sz w:val="22"/>
          <w:szCs w:val="22"/>
        </w:rPr>
        <w:t xml:space="preserve"> (permits and authorisations of facilities, shipment rules, chemical legislations, etc.);</w:t>
      </w:r>
    </w:p>
    <w:p w:rsidR="00255FF9" w:rsidRPr="00890322" w:rsidRDefault="00255FF9" w:rsidP="00A76DD0">
      <w:pPr>
        <w:pStyle w:val="ListParagraph"/>
        <w:numPr>
          <w:ilvl w:val="0"/>
          <w:numId w:val="3"/>
        </w:numPr>
        <w:tabs>
          <w:tab w:val="num" w:pos="720"/>
        </w:tabs>
        <w:ind w:left="502"/>
        <w:jc w:val="both"/>
        <w:rPr>
          <w:rFonts w:asciiTheme="minorHAnsi" w:hAnsiTheme="minorHAnsi"/>
          <w:color w:val="002060"/>
          <w:sz w:val="22"/>
          <w:szCs w:val="22"/>
        </w:rPr>
      </w:pPr>
      <w:r w:rsidRPr="00890322">
        <w:rPr>
          <w:rFonts w:asciiTheme="minorHAnsi" w:hAnsiTheme="minorHAnsi"/>
          <w:color w:val="002060"/>
          <w:sz w:val="22"/>
          <w:szCs w:val="22"/>
        </w:rPr>
        <w:t>Second, because end-of-waste (</w:t>
      </w:r>
      <w:proofErr w:type="spellStart"/>
      <w:r w:rsidRPr="00890322">
        <w:rPr>
          <w:rFonts w:asciiTheme="minorHAnsi" w:hAnsiTheme="minorHAnsi"/>
          <w:color w:val="002060"/>
          <w:sz w:val="22"/>
          <w:szCs w:val="22"/>
        </w:rPr>
        <w:t>EoW</w:t>
      </w:r>
      <w:proofErr w:type="spellEnd"/>
      <w:r w:rsidRPr="00890322">
        <w:rPr>
          <w:rFonts w:asciiTheme="minorHAnsi" w:hAnsiTheme="minorHAnsi"/>
          <w:color w:val="002060"/>
          <w:sz w:val="22"/>
          <w:szCs w:val="22"/>
        </w:rPr>
        <w:t>) criteria set at European level (</w:t>
      </w:r>
      <w:r w:rsidR="00890322" w:rsidRPr="00890322">
        <w:rPr>
          <w:rFonts w:asciiTheme="minorHAnsi" w:hAnsiTheme="minorHAnsi"/>
          <w:color w:val="002060"/>
          <w:sz w:val="22"/>
          <w:szCs w:val="22"/>
        </w:rPr>
        <w:t>best</w:t>
      </w:r>
      <w:r w:rsidRPr="00890322">
        <w:rPr>
          <w:rFonts w:asciiTheme="minorHAnsi" w:hAnsiTheme="minorHAnsi"/>
          <w:color w:val="002060"/>
          <w:sz w:val="22"/>
          <w:szCs w:val="22"/>
        </w:rPr>
        <w:t xml:space="preserve"> option) or at national level (second best option</w:t>
      </w:r>
      <w:r w:rsidR="00890322" w:rsidRPr="00890322">
        <w:rPr>
          <w:rFonts w:asciiTheme="minorHAnsi" w:hAnsiTheme="minorHAnsi"/>
          <w:color w:val="002060"/>
          <w:sz w:val="22"/>
          <w:szCs w:val="22"/>
        </w:rPr>
        <w:t xml:space="preserve"> in the absence of EU-wide </w:t>
      </w:r>
      <w:proofErr w:type="spellStart"/>
      <w:r w:rsidR="00890322" w:rsidRPr="00890322">
        <w:rPr>
          <w:rFonts w:asciiTheme="minorHAnsi" w:hAnsiTheme="minorHAnsi"/>
          <w:color w:val="002060"/>
          <w:sz w:val="22"/>
          <w:szCs w:val="22"/>
        </w:rPr>
        <w:t>EoW</w:t>
      </w:r>
      <w:proofErr w:type="spellEnd"/>
      <w:r w:rsidRPr="00890322">
        <w:rPr>
          <w:rFonts w:asciiTheme="minorHAnsi" w:hAnsiTheme="minorHAnsi"/>
          <w:color w:val="002060"/>
          <w:sz w:val="22"/>
          <w:szCs w:val="22"/>
        </w:rPr>
        <w:t>)</w:t>
      </w:r>
      <w:r w:rsidR="00A434B9">
        <w:rPr>
          <w:rFonts w:asciiTheme="minorHAnsi" w:hAnsiTheme="minorHAnsi"/>
          <w:color w:val="002060"/>
          <w:sz w:val="22"/>
          <w:szCs w:val="22"/>
        </w:rPr>
        <w:t>,</w:t>
      </w:r>
      <w:r w:rsidRPr="00890322">
        <w:rPr>
          <w:rFonts w:asciiTheme="minorHAnsi" w:hAnsiTheme="minorHAnsi"/>
          <w:color w:val="002060"/>
          <w:sz w:val="22"/>
          <w:szCs w:val="22"/>
        </w:rPr>
        <w:t xml:space="preserve"> provided that conditions</w:t>
      </w:r>
      <w:r w:rsidR="001F1780">
        <w:rPr>
          <w:rFonts w:asciiTheme="minorHAnsi" w:hAnsiTheme="minorHAnsi"/>
          <w:color w:val="002060"/>
          <w:sz w:val="22"/>
          <w:szCs w:val="22"/>
        </w:rPr>
        <w:t xml:space="preserve"> for </w:t>
      </w:r>
      <w:r w:rsidR="001F1780" w:rsidRPr="00890322">
        <w:rPr>
          <w:rFonts w:asciiTheme="minorHAnsi" w:hAnsiTheme="minorHAnsi"/>
          <w:color w:val="002060"/>
          <w:sz w:val="22"/>
          <w:szCs w:val="22"/>
        </w:rPr>
        <w:t>recognition</w:t>
      </w:r>
      <w:r w:rsidRPr="00890322">
        <w:rPr>
          <w:rFonts w:asciiTheme="minorHAnsi" w:hAnsiTheme="minorHAnsi"/>
          <w:color w:val="002060"/>
          <w:sz w:val="22"/>
          <w:szCs w:val="22"/>
        </w:rPr>
        <w:t xml:space="preserve"> are </w:t>
      </w:r>
      <w:r w:rsidR="001F1780">
        <w:rPr>
          <w:rFonts w:asciiTheme="minorHAnsi" w:hAnsiTheme="minorHAnsi"/>
          <w:color w:val="002060"/>
          <w:sz w:val="22"/>
          <w:szCs w:val="22"/>
        </w:rPr>
        <w:t>laid down</w:t>
      </w:r>
      <w:r w:rsidRPr="00890322">
        <w:rPr>
          <w:rFonts w:asciiTheme="minorHAnsi" w:hAnsiTheme="minorHAnsi"/>
          <w:color w:val="002060"/>
          <w:sz w:val="22"/>
          <w:szCs w:val="22"/>
        </w:rPr>
        <w:t xml:space="preserve"> to ensure they can be applicable in other European countries</w:t>
      </w:r>
      <w:r w:rsidR="00A434B9">
        <w:rPr>
          <w:rFonts w:asciiTheme="minorHAnsi" w:hAnsiTheme="minorHAnsi"/>
          <w:color w:val="002060"/>
          <w:sz w:val="22"/>
          <w:szCs w:val="22"/>
        </w:rPr>
        <w:t>,</w:t>
      </w:r>
      <w:r w:rsidRPr="00890322">
        <w:rPr>
          <w:rFonts w:asciiTheme="minorHAnsi" w:hAnsiTheme="minorHAnsi"/>
          <w:color w:val="002060"/>
          <w:sz w:val="22"/>
          <w:szCs w:val="22"/>
        </w:rPr>
        <w:t xml:space="preserve"> are instrumental to complete a well-functioning internal market for recycling which does not exist today.</w:t>
      </w:r>
    </w:p>
    <w:p w:rsidR="00255FF9" w:rsidRPr="00890322" w:rsidRDefault="00255FF9" w:rsidP="00106E54">
      <w:pPr>
        <w:jc w:val="both"/>
        <w:rPr>
          <w:rFonts w:asciiTheme="minorHAnsi" w:hAnsiTheme="minorHAnsi"/>
          <w:color w:val="002060"/>
          <w:sz w:val="22"/>
          <w:szCs w:val="22"/>
        </w:rPr>
      </w:pPr>
      <w:r w:rsidRPr="00890322">
        <w:rPr>
          <w:rFonts w:asciiTheme="minorHAnsi" w:hAnsiTheme="minorHAnsi"/>
          <w:color w:val="002060"/>
          <w:sz w:val="22"/>
          <w:szCs w:val="22"/>
        </w:rPr>
        <w:t>The lack of end-of-waste criteria for paper, despite the existence of a European quality standard for recovered paper (EN 643), or particularly for newer streams (be it plastics, batteries, etc.) poses a genuine problem in daily business activities for recyclers</w:t>
      </w:r>
      <w:r w:rsidR="00A434B9">
        <w:rPr>
          <w:rFonts w:asciiTheme="minorHAnsi" w:hAnsiTheme="minorHAnsi"/>
          <w:color w:val="002060"/>
          <w:sz w:val="22"/>
          <w:szCs w:val="22"/>
        </w:rPr>
        <w:t>.</w:t>
      </w:r>
      <w:r w:rsidRPr="00890322">
        <w:rPr>
          <w:rFonts w:asciiTheme="minorHAnsi" w:hAnsiTheme="minorHAnsi"/>
          <w:color w:val="002060"/>
          <w:sz w:val="22"/>
          <w:szCs w:val="22"/>
        </w:rPr>
        <w:t xml:space="preserve"> </w:t>
      </w:r>
      <w:r w:rsidR="00A434B9" w:rsidRPr="00890322">
        <w:rPr>
          <w:rFonts w:asciiTheme="minorHAnsi" w:hAnsiTheme="minorHAnsi"/>
          <w:color w:val="002060"/>
          <w:sz w:val="22"/>
          <w:szCs w:val="22"/>
        </w:rPr>
        <w:t>The lack of end-of-waste criteria</w:t>
      </w:r>
      <w:r w:rsidRPr="00890322">
        <w:rPr>
          <w:rFonts w:asciiTheme="minorHAnsi" w:hAnsiTheme="minorHAnsi"/>
          <w:color w:val="002060"/>
          <w:sz w:val="22"/>
          <w:szCs w:val="22"/>
        </w:rPr>
        <w:t xml:space="preserve"> significantly hamper</w:t>
      </w:r>
      <w:r w:rsidR="00A434B9">
        <w:rPr>
          <w:rFonts w:asciiTheme="minorHAnsi" w:hAnsiTheme="minorHAnsi"/>
          <w:color w:val="002060"/>
          <w:sz w:val="22"/>
          <w:szCs w:val="22"/>
        </w:rPr>
        <w:t>s</w:t>
      </w:r>
      <w:r w:rsidRPr="00890322">
        <w:rPr>
          <w:rFonts w:asciiTheme="minorHAnsi" w:hAnsiTheme="minorHAnsi"/>
          <w:color w:val="002060"/>
          <w:sz w:val="22"/>
          <w:szCs w:val="22"/>
        </w:rPr>
        <w:t xml:space="preserve"> the shift towards a circular economy while giving a regulatory and business advantage to linear value chains which are not facing such legal uncertainties. </w:t>
      </w:r>
    </w:p>
    <w:p w:rsidR="00255FF9" w:rsidRDefault="00255FF9" w:rsidP="00255FF9">
      <w:pPr>
        <w:rPr>
          <w:rFonts w:asciiTheme="minorHAnsi" w:hAnsiTheme="minorHAnsi"/>
          <w:color w:val="002060"/>
          <w:sz w:val="22"/>
          <w:szCs w:val="22"/>
        </w:rPr>
      </w:pPr>
    </w:p>
    <w:p w:rsidR="00890322" w:rsidRPr="00890322" w:rsidRDefault="00890322" w:rsidP="00255FF9">
      <w:pPr>
        <w:rPr>
          <w:rFonts w:asciiTheme="minorHAnsi" w:hAnsiTheme="minorHAnsi"/>
          <w:color w:val="002060"/>
          <w:sz w:val="22"/>
          <w:szCs w:val="22"/>
          <w:u w:val="single"/>
        </w:rPr>
      </w:pPr>
      <w:r w:rsidRPr="00890322">
        <w:rPr>
          <w:rFonts w:asciiTheme="minorHAnsi" w:hAnsiTheme="minorHAnsi"/>
          <w:color w:val="002060"/>
          <w:sz w:val="22"/>
          <w:szCs w:val="22"/>
          <w:u w:val="single"/>
        </w:rPr>
        <w:t>End-of-waste criteria set at national level</w:t>
      </w:r>
    </w:p>
    <w:p w:rsidR="00890322" w:rsidRDefault="00890322" w:rsidP="00A76DD0">
      <w:pPr>
        <w:spacing w:after="120"/>
        <w:rPr>
          <w:rFonts w:asciiTheme="minorHAnsi" w:hAnsiTheme="minorHAnsi"/>
          <w:color w:val="002060"/>
          <w:sz w:val="22"/>
          <w:szCs w:val="22"/>
        </w:rPr>
      </w:pPr>
      <w:r>
        <w:rPr>
          <w:rFonts w:asciiTheme="minorHAnsi" w:hAnsiTheme="minorHAnsi"/>
          <w:color w:val="002060"/>
          <w:sz w:val="22"/>
          <w:szCs w:val="22"/>
        </w:rPr>
        <w:t xml:space="preserve">EU-wide </w:t>
      </w:r>
      <w:proofErr w:type="spellStart"/>
      <w:r>
        <w:rPr>
          <w:rFonts w:asciiTheme="minorHAnsi" w:hAnsiTheme="minorHAnsi"/>
          <w:color w:val="002060"/>
          <w:sz w:val="22"/>
          <w:szCs w:val="22"/>
        </w:rPr>
        <w:t>EoW</w:t>
      </w:r>
      <w:proofErr w:type="spellEnd"/>
      <w:r>
        <w:rPr>
          <w:rFonts w:asciiTheme="minorHAnsi" w:hAnsiTheme="minorHAnsi"/>
          <w:color w:val="002060"/>
          <w:sz w:val="22"/>
          <w:szCs w:val="22"/>
        </w:rPr>
        <w:t xml:space="preserve"> criteria remain by far the best option since it is the only </w:t>
      </w:r>
      <w:r w:rsidR="00A434B9">
        <w:rPr>
          <w:rFonts w:asciiTheme="minorHAnsi" w:hAnsiTheme="minorHAnsi"/>
          <w:color w:val="002060"/>
          <w:sz w:val="22"/>
          <w:szCs w:val="22"/>
        </w:rPr>
        <w:t xml:space="preserve">approach </w:t>
      </w:r>
      <w:r>
        <w:rPr>
          <w:rFonts w:asciiTheme="minorHAnsi" w:hAnsiTheme="minorHAnsi"/>
          <w:color w:val="002060"/>
          <w:sz w:val="22"/>
          <w:szCs w:val="22"/>
        </w:rPr>
        <w:t>which guarantees that they apply throughout the EU, on the basis of the same criteria, whenever operators decide to use the oppo</w:t>
      </w:r>
      <w:r w:rsidR="00A76DD0">
        <w:rPr>
          <w:rFonts w:asciiTheme="minorHAnsi" w:hAnsiTheme="minorHAnsi"/>
          <w:color w:val="002060"/>
          <w:sz w:val="22"/>
          <w:szCs w:val="22"/>
        </w:rPr>
        <w:t xml:space="preserve">rtunity to use these criteria. </w:t>
      </w:r>
      <w:r>
        <w:rPr>
          <w:rFonts w:asciiTheme="minorHAnsi" w:hAnsiTheme="minorHAnsi"/>
          <w:color w:val="002060"/>
          <w:sz w:val="22"/>
          <w:szCs w:val="22"/>
        </w:rPr>
        <w:t xml:space="preserve"> </w:t>
      </w:r>
    </w:p>
    <w:p w:rsidR="00106E54" w:rsidRDefault="00890322" w:rsidP="00255FF9">
      <w:pPr>
        <w:rPr>
          <w:rFonts w:asciiTheme="minorHAnsi" w:hAnsiTheme="minorHAnsi"/>
          <w:color w:val="002060"/>
          <w:sz w:val="22"/>
          <w:szCs w:val="22"/>
        </w:rPr>
      </w:pPr>
      <w:r>
        <w:rPr>
          <w:rFonts w:asciiTheme="minorHAnsi" w:hAnsiTheme="minorHAnsi"/>
          <w:color w:val="002060"/>
          <w:sz w:val="22"/>
          <w:szCs w:val="22"/>
        </w:rPr>
        <w:t>EuRIC supports national end-of-waste set at national level only if there is no EU-wide</w:t>
      </w:r>
      <w:r w:rsidR="00106E54">
        <w:rPr>
          <w:rFonts w:asciiTheme="minorHAnsi" w:hAnsiTheme="minorHAnsi"/>
          <w:color w:val="002060"/>
          <w:sz w:val="22"/>
          <w:szCs w:val="22"/>
        </w:rPr>
        <w:t xml:space="preserve"> end of waste and provided that</w:t>
      </w:r>
      <w:r w:rsidR="00022D0F">
        <w:rPr>
          <w:rFonts w:asciiTheme="minorHAnsi" w:hAnsiTheme="minorHAnsi"/>
          <w:color w:val="002060"/>
          <w:sz w:val="22"/>
          <w:szCs w:val="22"/>
        </w:rPr>
        <w:t xml:space="preserve"> they are</w:t>
      </w:r>
      <w:r w:rsidR="00106E54">
        <w:rPr>
          <w:rFonts w:asciiTheme="minorHAnsi" w:hAnsiTheme="minorHAnsi"/>
          <w:color w:val="002060"/>
          <w:sz w:val="22"/>
          <w:szCs w:val="22"/>
        </w:rPr>
        <w:t>:</w:t>
      </w:r>
    </w:p>
    <w:p w:rsidR="00106E54" w:rsidRPr="00106E54" w:rsidRDefault="00022D0F" w:rsidP="00A76DD0">
      <w:pPr>
        <w:pStyle w:val="ListParagraph"/>
        <w:numPr>
          <w:ilvl w:val="0"/>
          <w:numId w:val="3"/>
        </w:numPr>
        <w:tabs>
          <w:tab w:val="num" w:pos="720"/>
        </w:tabs>
        <w:ind w:left="502"/>
        <w:jc w:val="both"/>
        <w:rPr>
          <w:rFonts w:asciiTheme="minorHAnsi" w:hAnsiTheme="minorHAnsi"/>
          <w:b/>
          <w:color w:val="002060"/>
          <w:sz w:val="22"/>
          <w:szCs w:val="22"/>
        </w:rPr>
      </w:pPr>
      <w:r>
        <w:rPr>
          <w:rFonts w:asciiTheme="minorHAnsi" w:hAnsiTheme="minorHAnsi"/>
          <w:color w:val="002060"/>
          <w:sz w:val="22"/>
          <w:szCs w:val="22"/>
        </w:rPr>
        <w:t>N</w:t>
      </w:r>
      <w:r w:rsidR="00106E54" w:rsidRPr="00106E54">
        <w:rPr>
          <w:rFonts w:asciiTheme="minorHAnsi" w:hAnsiTheme="minorHAnsi"/>
          <w:color w:val="002060"/>
          <w:sz w:val="22"/>
          <w:szCs w:val="22"/>
        </w:rPr>
        <w:t>otif</w:t>
      </w:r>
      <w:r w:rsidR="00106E54">
        <w:rPr>
          <w:rFonts w:asciiTheme="minorHAnsi" w:hAnsiTheme="minorHAnsi"/>
          <w:color w:val="002060"/>
          <w:sz w:val="22"/>
          <w:szCs w:val="22"/>
        </w:rPr>
        <w:t>ied to the European Commission</w:t>
      </w:r>
      <w:r>
        <w:rPr>
          <w:rFonts w:asciiTheme="minorHAnsi" w:hAnsiTheme="minorHAnsi"/>
          <w:color w:val="002060"/>
          <w:sz w:val="22"/>
          <w:szCs w:val="22"/>
        </w:rPr>
        <w:t>;</w:t>
      </w:r>
    </w:p>
    <w:p w:rsidR="00106E54" w:rsidRPr="00022D0F" w:rsidRDefault="00022D0F" w:rsidP="00A76DD0">
      <w:pPr>
        <w:pStyle w:val="ListParagraph"/>
        <w:numPr>
          <w:ilvl w:val="0"/>
          <w:numId w:val="3"/>
        </w:numPr>
        <w:tabs>
          <w:tab w:val="num" w:pos="720"/>
        </w:tabs>
        <w:ind w:left="502"/>
        <w:jc w:val="both"/>
        <w:rPr>
          <w:rFonts w:asciiTheme="minorHAnsi" w:hAnsiTheme="minorHAnsi"/>
          <w:color w:val="002060"/>
          <w:sz w:val="22"/>
          <w:szCs w:val="22"/>
        </w:rPr>
      </w:pPr>
      <w:r>
        <w:rPr>
          <w:rFonts w:asciiTheme="minorHAnsi" w:hAnsiTheme="minorHAnsi"/>
          <w:color w:val="002060"/>
          <w:sz w:val="22"/>
          <w:szCs w:val="22"/>
        </w:rPr>
        <w:t>P</w:t>
      </w:r>
      <w:r w:rsidR="00106E54">
        <w:rPr>
          <w:rFonts w:asciiTheme="minorHAnsi" w:hAnsiTheme="minorHAnsi"/>
          <w:color w:val="002060"/>
          <w:sz w:val="22"/>
          <w:szCs w:val="22"/>
        </w:rPr>
        <w:t xml:space="preserve">ublicly available via a database </w:t>
      </w:r>
      <w:r>
        <w:rPr>
          <w:rFonts w:asciiTheme="minorHAnsi" w:hAnsiTheme="minorHAnsi"/>
          <w:color w:val="002060"/>
          <w:sz w:val="22"/>
          <w:szCs w:val="22"/>
        </w:rPr>
        <w:t>enabling all stakeholders to swiftly identify the end of waste already adopted in Member States by resource stream;</w:t>
      </w:r>
    </w:p>
    <w:p w:rsidR="00022D0F" w:rsidRDefault="00022D0F" w:rsidP="00A76DD0">
      <w:pPr>
        <w:pStyle w:val="ListParagraph"/>
        <w:numPr>
          <w:ilvl w:val="0"/>
          <w:numId w:val="3"/>
        </w:numPr>
        <w:tabs>
          <w:tab w:val="num" w:pos="720"/>
        </w:tabs>
        <w:ind w:left="502"/>
        <w:jc w:val="both"/>
        <w:rPr>
          <w:rFonts w:asciiTheme="minorHAnsi" w:hAnsiTheme="minorHAnsi"/>
          <w:color w:val="002060"/>
          <w:sz w:val="22"/>
          <w:szCs w:val="22"/>
        </w:rPr>
      </w:pPr>
      <w:r w:rsidRPr="00022D0F">
        <w:rPr>
          <w:rFonts w:asciiTheme="minorHAnsi" w:hAnsiTheme="minorHAnsi"/>
          <w:color w:val="002060"/>
          <w:sz w:val="22"/>
          <w:szCs w:val="22"/>
        </w:rPr>
        <w:t xml:space="preserve">A simple mechanism is set up to ensure that national </w:t>
      </w:r>
      <w:proofErr w:type="spellStart"/>
      <w:r>
        <w:rPr>
          <w:rFonts w:asciiTheme="minorHAnsi" w:hAnsiTheme="minorHAnsi"/>
          <w:color w:val="002060"/>
          <w:sz w:val="22"/>
          <w:szCs w:val="22"/>
        </w:rPr>
        <w:t>EoW</w:t>
      </w:r>
      <w:proofErr w:type="spellEnd"/>
      <w:r>
        <w:rPr>
          <w:rFonts w:asciiTheme="minorHAnsi" w:hAnsiTheme="minorHAnsi"/>
          <w:color w:val="002060"/>
          <w:sz w:val="22"/>
          <w:szCs w:val="22"/>
        </w:rPr>
        <w:t xml:space="preserve"> criteria fulfilling minimum requirements can be recognised in other Member States so as to guarantee an efficient functioning of an internal market for recycling;</w:t>
      </w:r>
    </w:p>
    <w:p w:rsidR="00A76DD0" w:rsidRDefault="00022D0F" w:rsidP="00A434B9">
      <w:pPr>
        <w:spacing w:before="120" w:after="120"/>
        <w:jc w:val="both"/>
        <w:rPr>
          <w:rFonts w:asciiTheme="minorHAnsi" w:hAnsiTheme="minorHAnsi"/>
          <w:color w:val="002060"/>
          <w:sz w:val="22"/>
          <w:szCs w:val="22"/>
        </w:rPr>
      </w:pPr>
      <w:r w:rsidRPr="00FB0BB9">
        <w:rPr>
          <w:rFonts w:asciiTheme="minorHAnsi" w:hAnsiTheme="minorHAnsi"/>
          <w:b/>
          <w:color w:val="002060"/>
          <w:sz w:val="22"/>
          <w:szCs w:val="22"/>
        </w:rPr>
        <w:t>EuRIC opposes</w:t>
      </w:r>
      <w:r w:rsidR="00A434B9">
        <w:rPr>
          <w:rFonts w:asciiTheme="minorHAnsi" w:hAnsiTheme="minorHAnsi"/>
          <w:b/>
          <w:color w:val="002060"/>
          <w:sz w:val="22"/>
          <w:szCs w:val="22"/>
        </w:rPr>
        <w:t xml:space="preserve"> </w:t>
      </w:r>
      <w:proofErr w:type="gramStart"/>
      <w:r w:rsidR="00A434B9">
        <w:rPr>
          <w:rFonts w:asciiTheme="minorHAnsi" w:hAnsiTheme="minorHAnsi"/>
          <w:b/>
          <w:color w:val="002060"/>
          <w:sz w:val="22"/>
          <w:szCs w:val="22"/>
        </w:rPr>
        <w:t>a</w:t>
      </w:r>
      <w:r w:rsidRPr="00FB0BB9">
        <w:rPr>
          <w:rFonts w:asciiTheme="minorHAnsi" w:hAnsiTheme="minorHAnsi"/>
          <w:b/>
          <w:color w:val="002060"/>
          <w:sz w:val="22"/>
          <w:szCs w:val="22"/>
        </w:rPr>
        <w:t xml:space="preserve"> case-by-case mechanisms</w:t>
      </w:r>
      <w:proofErr w:type="gramEnd"/>
      <w:r w:rsidR="00FB0BB9" w:rsidRPr="00FB0BB9">
        <w:rPr>
          <w:rFonts w:asciiTheme="minorHAnsi" w:hAnsiTheme="minorHAnsi"/>
          <w:b/>
          <w:color w:val="002060"/>
          <w:sz w:val="22"/>
          <w:szCs w:val="22"/>
        </w:rPr>
        <w:t xml:space="preserve"> </w:t>
      </w:r>
      <w:r w:rsidR="00FB0BB9">
        <w:rPr>
          <w:rFonts w:asciiTheme="minorHAnsi" w:hAnsiTheme="minorHAnsi"/>
          <w:b/>
          <w:color w:val="002060"/>
          <w:sz w:val="22"/>
          <w:szCs w:val="22"/>
        </w:rPr>
        <w:t xml:space="preserve">to check whether a waste has ceased to be waste if such decisions are only valid within the boundaries of one Member State with no readily available possibility to ensure they can be recognised in another Member State. </w:t>
      </w:r>
      <w:r w:rsidR="00FB0BB9">
        <w:rPr>
          <w:rFonts w:asciiTheme="minorHAnsi" w:hAnsiTheme="minorHAnsi"/>
          <w:color w:val="002060"/>
          <w:sz w:val="22"/>
          <w:szCs w:val="22"/>
        </w:rPr>
        <w:t xml:space="preserve">As a matter of fact, such mechanisms even if they can bring benefits at local levels would </w:t>
      </w:r>
      <w:r w:rsidR="00A434B9" w:rsidRPr="00A434B9">
        <w:rPr>
          <w:rFonts w:asciiTheme="minorHAnsi" w:hAnsiTheme="minorHAnsi"/>
          <w:color w:val="002060"/>
          <w:sz w:val="22"/>
          <w:szCs w:val="22"/>
        </w:rPr>
        <w:t xml:space="preserve">cause </w:t>
      </w:r>
      <w:r w:rsidR="00A434B9" w:rsidRPr="00A434B9">
        <w:rPr>
          <w:rFonts w:asciiTheme="minorHAnsi" w:hAnsiTheme="minorHAnsi"/>
          <w:color w:val="002060"/>
          <w:sz w:val="22"/>
          <w:szCs w:val="22"/>
          <w:u w:val="single"/>
        </w:rPr>
        <w:t>fragmentation</w:t>
      </w:r>
      <w:r w:rsidR="00A434B9">
        <w:rPr>
          <w:rFonts w:asciiTheme="minorHAnsi" w:hAnsiTheme="minorHAnsi"/>
          <w:color w:val="002060"/>
          <w:sz w:val="22"/>
          <w:szCs w:val="22"/>
        </w:rPr>
        <w:t xml:space="preserve"> of</w:t>
      </w:r>
      <w:r w:rsidR="00A434B9" w:rsidRPr="00A434B9">
        <w:rPr>
          <w:rFonts w:asciiTheme="minorHAnsi" w:hAnsiTheme="minorHAnsi"/>
          <w:color w:val="002060"/>
          <w:sz w:val="22"/>
          <w:szCs w:val="22"/>
        </w:rPr>
        <w:t xml:space="preserve"> </w:t>
      </w:r>
      <w:r w:rsidR="00FB0BB9">
        <w:rPr>
          <w:rFonts w:asciiTheme="minorHAnsi" w:hAnsiTheme="minorHAnsi"/>
          <w:color w:val="002060"/>
          <w:sz w:val="22"/>
          <w:szCs w:val="22"/>
        </w:rPr>
        <w:t>the internal market for recycling since waste considered as end-of-waste in one country or region will remain waste in other</w:t>
      </w:r>
      <w:r w:rsidR="00A434B9">
        <w:rPr>
          <w:rFonts w:asciiTheme="minorHAnsi" w:hAnsiTheme="minorHAnsi"/>
          <w:color w:val="002060"/>
          <w:sz w:val="22"/>
          <w:szCs w:val="22"/>
        </w:rPr>
        <w:t>s</w:t>
      </w:r>
      <w:r w:rsidR="00FB0BB9">
        <w:rPr>
          <w:rFonts w:asciiTheme="minorHAnsi" w:hAnsiTheme="minorHAnsi"/>
          <w:color w:val="002060"/>
          <w:sz w:val="22"/>
          <w:szCs w:val="22"/>
        </w:rPr>
        <w:t xml:space="preserve">, and will continue placing recyclers in a systemic legal uncertainty. In addition, as for any kind of national end-of-waste criteria, case-by-case mechanisms shall be notified to the European Commission so as to enable to judge the opportunity of enacting EU-wide criteria, which should remain the ultimate goal. </w:t>
      </w:r>
    </w:p>
    <w:p w:rsidR="00A76DD0" w:rsidRDefault="00A76DD0" w:rsidP="00A76DD0">
      <w:pPr>
        <w:jc w:val="both"/>
        <w:rPr>
          <w:rFonts w:asciiTheme="minorHAnsi" w:hAnsiTheme="minorHAnsi"/>
          <w:color w:val="002060"/>
          <w:sz w:val="22"/>
          <w:szCs w:val="22"/>
        </w:rPr>
      </w:pPr>
    </w:p>
    <w:p w:rsidR="00A76DD0" w:rsidRPr="00A434B9" w:rsidRDefault="00A76DD0" w:rsidP="00A76DD0">
      <w:pPr>
        <w:jc w:val="both"/>
        <w:rPr>
          <w:rFonts w:asciiTheme="minorHAnsi" w:hAnsiTheme="minorHAnsi"/>
          <w:color w:val="002060"/>
          <w:sz w:val="22"/>
          <w:szCs w:val="22"/>
          <w:u w:val="single"/>
        </w:rPr>
      </w:pPr>
      <w:r w:rsidRPr="00A434B9">
        <w:rPr>
          <w:rFonts w:asciiTheme="minorHAnsi" w:hAnsiTheme="minorHAnsi"/>
          <w:color w:val="002060"/>
          <w:sz w:val="22"/>
          <w:szCs w:val="22"/>
          <w:u w:val="single"/>
        </w:rPr>
        <w:t>EuRIC would like to take this opportunity to recall its earlier and steady position on:</w:t>
      </w:r>
    </w:p>
    <w:p w:rsidR="00A76DD0" w:rsidRPr="00A434B9" w:rsidRDefault="00A76DD0" w:rsidP="00A76DD0">
      <w:pPr>
        <w:pStyle w:val="ListParagraph"/>
        <w:numPr>
          <w:ilvl w:val="0"/>
          <w:numId w:val="3"/>
        </w:numPr>
        <w:tabs>
          <w:tab w:val="num" w:pos="720"/>
        </w:tabs>
        <w:jc w:val="both"/>
        <w:rPr>
          <w:rFonts w:asciiTheme="minorHAnsi" w:hAnsiTheme="minorHAnsi"/>
          <w:color w:val="002060"/>
          <w:sz w:val="22"/>
          <w:szCs w:val="22"/>
        </w:rPr>
      </w:pPr>
      <w:r>
        <w:rPr>
          <w:rFonts w:asciiTheme="minorHAnsi" w:hAnsiTheme="minorHAnsi"/>
          <w:color w:val="002060"/>
          <w:sz w:val="22"/>
          <w:szCs w:val="22"/>
        </w:rPr>
        <w:t>T</w:t>
      </w:r>
      <w:r w:rsidRPr="00A76DD0">
        <w:rPr>
          <w:rFonts w:asciiTheme="minorHAnsi" w:hAnsiTheme="minorHAnsi"/>
          <w:color w:val="002060"/>
          <w:sz w:val="22"/>
          <w:szCs w:val="22"/>
        </w:rPr>
        <w:t xml:space="preserve">he need for </w:t>
      </w:r>
      <w:r w:rsidRPr="00A76DD0">
        <w:rPr>
          <w:rFonts w:ascii="Cambria" w:eastAsiaTheme="minorEastAsia" w:hAnsi="Cambria" w:cs="Cambria"/>
          <w:b/>
          <w:bCs/>
          <w:color w:val="002060"/>
          <w:sz w:val="22"/>
          <w:szCs w:val="22"/>
          <w:lang w:eastAsia="fr-FR"/>
        </w:rPr>
        <w:t xml:space="preserve">EU guidance/rules for national single-case decisions </w:t>
      </w:r>
      <w:r w:rsidRPr="00A76DD0">
        <w:rPr>
          <w:rFonts w:ascii="Cambria" w:eastAsiaTheme="minorEastAsia" w:hAnsi="Cambria" w:cs="Cambria"/>
          <w:color w:val="002060"/>
          <w:sz w:val="22"/>
          <w:szCs w:val="22"/>
          <w:lang w:eastAsia="fr-FR"/>
        </w:rPr>
        <w:t xml:space="preserve">to clarify how recycled materials meeting these decisions shall be reclassified as products by competent authorities and be legally </w:t>
      </w:r>
      <w:r>
        <w:rPr>
          <w:rFonts w:ascii="Cambria" w:eastAsiaTheme="minorEastAsia" w:hAnsi="Cambria" w:cs="Cambria"/>
          <w:color w:val="002060"/>
          <w:sz w:val="22"/>
          <w:szCs w:val="22"/>
          <w:lang w:eastAsia="fr-FR"/>
        </w:rPr>
        <w:t>binding</w:t>
      </w:r>
      <w:r w:rsidR="00A434B9">
        <w:rPr>
          <w:rFonts w:ascii="Cambria" w:eastAsiaTheme="minorEastAsia" w:hAnsi="Cambria" w:cs="Cambria"/>
          <w:color w:val="002060"/>
          <w:sz w:val="22"/>
          <w:szCs w:val="22"/>
          <w:lang w:eastAsia="fr-FR"/>
        </w:rPr>
        <w:t xml:space="preserve"> for</w:t>
      </w:r>
      <w:r>
        <w:rPr>
          <w:rFonts w:ascii="Cambria" w:eastAsiaTheme="minorEastAsia" w:hAnsi="Cambria" w:cs="Cambria"/>
          <w:color w:val="002060"/>
          <w:sz w:val="22"/>
          <w:szCs w:val="22"/>
          <w:lang w:eastAsia="fr-FR"/>
        </w:rPr>
        <w:t xml:space="preserve"> all parties;</w:t>
      </w:r>
    </w:p>
    <w:p w:rsidR="00A434B9" w:rsidRDefault="00A434B9" w:rsidP="00A434B9">
      <w:pPr>
        <w:tabs>
          <w:tab w:val="num" w:pos="720"/>
        </w:tabs>
        <w:jc w:val="both"/>
        <w:rPr>
          <w:rFonts w:asciiTheme="minorHAnsi" w:hAnsiTheme="minorHAnsi"/>
          <w:color w:val="002060"/>
          <w:sz w:val="22"/>
          <w:szCs w:val="22"/>
        </w:rPr>
      </w:pPr>
    </w:p>
    <w:p w:rsidR="00A434B9" w:rsidRPr="00A434B9" w:rsidRDefault="00A434B9" w:rsidP="00A434B9">
      <w:pPr>
        <w:tabs>
          <w:tab w:val="num" w:pos="720"/>
        </w:tabs>
        <w:jc w:val="both"/>
        <w:rPr>
          <w:rFonts w:asciiTheme="minorHAnsi" w:hAnsiTheme="minorHAnsi"/>
          <w:color w:val="002060"/>
          <w:sz w:val="22"/>
          <w:szCs w:val="22"/>
        </w:rPr>
      </w:pPr>
    </w:p>
    <w:p w:rsidR="00A76DD0" w:rsidRDefault="00A76DD0" w:rsidP="00A76DD0">
      <w:pPr>
        <w:pStyle w:val="ListParagraph"/>
        <w:numPr>
          <w:ilvl w:val="0"/>
          <w:numId w:val="3"/>
        </w:numPr>
        <w:tabs>
          <w:tab w:val="num" w:pos="720"/>
        </w:tabs>
        <w:spacing w:after="120"/>
        <w:jc w:val="both"/>
        <w:rPr>
          <w:rFonts w:asciiTheme="minorHAnsi" w:hAnsiTheme="minorHAnsi"/>
          <w:color w:val="002060"/>
          <w:sz w:val="22"/>
          <w:szCs w:val="22"/>
        </w:rPr>
      </w:pPr>
      <w:r w:rsidRPr="00A76DD0">
        <w:rPr>
          <w:rFonts w:asciiTheme="minorHAnsi" w:hAnsiTheme="minorHAnsi"/>
          <w:color w:val="002060"/>
          <w:sz w:val="22"/>
          <w:szCs w:val="22"/>
        </w:rPr>
        <w:t xml:space="preserve">Ensuring </w:t>
      </w:r>
      <w:r w:rsidRPr="00A76DD0">
        <w:rPr>
          <w:rFonts w:asciiTheme="minorHAnsi" w:hAnsiTheme="minorHAnsi"/>
          <w:b/>
          <w:color w:val="002060"/>
          <w:sz w:val="22"/>
          <w:szCs w:val="22"/>
          <w:u w:val="single"/>
        </w:rPr>
        <w:t xml:space="preserve">that the regime for by-products is not more favourable than the regime for </w:t>
      </w:r>
      <w:proofErr w:type="spellStart"/>
      <w:r w:rsidRPr="00A76DD0">
        <w:rPr>
          <w:rFonts w:asciiTheme="minorHAnsi" w:hAnsiTheme="minorHAnsi"/>
          <w:b/>
          <w:color w:val="002060"/>
          <w:sz w:val="22"/>
          <w:szCs w:val="22"/>
          <w:u w:val="single"/>
        </w:rPr>
        <w:t>EoW</w:t>
      </w:r>
      <w:proofErr w:type="spellEnd"/>
      <w:r w:rsidRPr="00A76DD0">
        <w:rPr>
          <w:rFonts w:asciiTheme="minorHAnsi" w:hAnsiTheme="minorHAnsi"/>
          <w:b/>
          <w:color w:val="002060"/>
          <w:sz w:val="22"/>
          <w:szCs w:val="22"/>
          <w:u w:val="single"/>
        </w:rPr>
        <w:t xml:space="preserve"> criteria to prevent the creation of regulatory loopholes between </w:t>
      </w:r>
      <w:r w:rsidR="00A434B9">
        <w:rPr>
          <w:rFonts w:asciiTheme="minorHAnsi" w:hAnsiTheme="minorHAnsi"/>
          <w:b/>
          <w:color w:val="002060"/>
          <w:sz w:val="22"/>
          <w:szCs w:val="22"/>
          <w:u w:val="single"/>
        </w:rPr>
        <w:t xml:space="preserve">these </w:t>
      </w:r>
      <w:bookmarkStart w:id="0" w:name="_GoBack"/>
      <w:bookmarkEnd w:id="0"/>
      <w:r w:rsidRPr="00A76DD0">
        <w:rPr>
          <w:rFonts w:asciiTheme="minorHAnsi" w:hAnsiTheme="minorHAnsi"/>
          <w:b/>
          <w:color w:val="002060"/>
          <w:sz w:val="22"/>
          <w:szCs w:val="22"/>
          <w:u w:val="single"/>
        </w:rPr>
        <w:t>two regimes which have the same objective</w:t>
      </w:r>
      <w:r w:rsidRPr="00A76DD0">
        <w:rPr>
          <w:rFonts w:asciiTheme="minorHAnsi" w:hAnsiTheme="minorHAnsi"/>
          <w:b/>
          <w:color w:val="002060"/>
          <w:sz w:val="22"/>
          <w:szCs w:val="22"/>
        </w:rPr>
        <w:t xml:space="preserve">, </w:t>
      </w:r>
      <w:r w:rsidRPr="00A76DD0">
        <w:rPr>
          <w:rFonts w:asciiTheme="minorHAnsi" w:hAnsiTheme="minorHAnsi"/>
          <w:color w:val="002060"/>
          <w:sz w:val="22"/>
          <w:szCs w:val="22"/>
        </w:rPr>
        <w:t xml:space="preserve">namely to define what is not a waste, be it in first instance (for by-products) or following a recovery process (for </w:t>
      </w:r>
      <w:proofErr w:type="spellStart"/>
      <w:r w:rsidRPr="00A76DD0">
        <w:rPr>
          <w:rFonts w:asciiTheme="minorHAnsi" w:hAnsiTheme="minorHAnsi"/>
          <w:color w:val="002060"/>
          <w:sz w:val="22"/>
          <w:szCs w:val="22"/>
        </w:rPr>
        <w:t>EoW</w:t>
      </w:r>
      <w:proofErr w:type="spellEnd"/>
      <w:r w:rsidRPr="00A76DD0">
        <w:rPr>
          <w:rFonts w:asciiTheme="minorHAnsi" w:hAnsiTheme="minorHAnsi"/>
          <w:color w:val="002060"/>
          <w:sz w:val="22"/>
          <w:szCs w:val="22"/>
        </w:rPr>
        <w:t xml:space="preserve"> criteria), and solely depend on the intention and qualification of the holder.</w:t>
      </w:r>
    </w:p>
    <w:p w:rsidR="00A434B9" w:rsidRPr="00A76DD0" w:rsidRDefault="00A434B9" w:rsidP="00A434B9">
      <w:pPr>
        <w:pStyle w:val="ListParagraph"/>
        <w:spacing w:after="120"/>
        <w:jc w:val="both"/>
        <w:rPr>
          <w:rFonts w:asciiTheme="minorHAnsi" w:hAnsiTheme="minorHAnsi"/>
          <w:color w:val="002060"/>
          <w:sz w:val="22"/>
          <w:szCs w:val="22"/>
        </w:rPr>
      </w:pPr>
    </w:p>
    <w:p w:rsidR="00A434B9" w:rsidRPr="00A434B9" w:rsidRDefault="00A434B9" w:rsidP="00A434B9">
      <w:pPr>
        <w:pStyle w:val="ListParagraph"/>
        <w:tabs>
          <w:tab w:val="num" w:pos="720"/>
        </w:tabs>
        <w:autoSpaceDE w:val="0"/>
        <w:autoSpaceDN w:val="0"/>
        <w:adjustRightInd w:val="0"/>
        <w:jc w:val="center"/>
        <w:rPr>
          <w:rFonts w:ascii="Cambria" w:eastAsiaTheme="minorEastAsia" w:hAnsi="Cambria" w:cs="Cambria"/>
          <w:color w:val="002060"/>
          <w:sz w:val="22"/>
          <w:szCs w:val="22"/>
          <w:lang w:eastAsia="fr-FR"/>
        </w:rPr>
      </w:pPr>
      <w:r w:rsidRPr="00A434B9">
        <w:rPr>
          <w:rFonts w:ascii="Cambria" w:eastAsiaTheme="minorEastAsia" w:hAnsi="Cambria" w:cs="Cambria"/>
          <w:color w:val="002060"/>
          <w:sz w:val="22"/>
          <w:szCs w:val="22"/>
          <w:lang w:eastAsia="fr-FR"/>
        </w:rPr>
        <w:t>****************************************</w:t>
      </w:r>
    </w:p>
    <w:p w:rsidR="00A76DD0" w:rsidRDefault="00A76DD0" w:rsidP="0036150A">
      <w:pPr>
        <w:tabs>
          <w:tab w:val="num" w:pos="720"/>
        </w:tabs>
        <w:autoSpaceDE w:val="0"/>
        <w:autoSpaceDN w:val="0"/>
        <w:adjustRightInd w:val="0"/>
        <w:jc w:val="both"/>
        <w:rPr>
          <w:rFonts w:ascii="Cambria" w:eastAsiaTheme="minorEastAsia" w:hAnsi="Cambria" w:cs="Cambria"/>
          <w:color w:val="002060"/>
          <w:sz w:val="22"/>
          <w:szCs w:val="22"/>
          <w:lang w:eastAsia="fr-FR"/>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396"/>
      </w:tblGrid>
      <w:tr w:rsidR="00A434B9" w:rsidTr="00875BDC">
        <w:tc>
          <w:tcPr>
            <w:tcW w:w="9396" w:type="dxa"/>
          </w:tcPr>
          <w:p w:rsidR="00A434B9" w:rsidRPr="002A2E37" w:rsidRDefault="00A434B9" w:rsidP="00875BDC">
            <w:pPr>
              <w:jc w:val="both"/>
              <w:rPr>
                <w:rFonts w:asciiTheme="minorHAnsi" w:hAnsiTheme="minorHAnsi" w:cs="Arial"/>
                <w:i/>
                <w:color w:val="002060"/>
              </w:rPr>
            </w:pPr>
            <w:hyperlink r:id="rId8" w:history="1">
              <w:r w:rsidRPr="002A2E37">
                <w:rPr>
                  <w:rStyle w:val="Hyperlink"/>
                  <w:rFonts w:asciiTheme="minorHAnsi" w:eastAsiaTheme="minorHAnsi" w:hAnsiTheme="minorHAnsi" w:cs="Arial"/>
                  <w:b/>
                  <w:i/>
                </w:rPr>
                <w:t>EuRIC</w:t>
              </w:r>
            </w:hyperlink>
            <w:r w:rsidRPr="002A2E37">
              <w:rPr>
                <w:rFonts w:asciiTheme="minorHAnsi" w:hAnsiTheme="minorHAnsi" w:cs="Arial"/>
                <w:i/>
              </w:rPr>
              <w:t xml:space="preserve"> </w:t>
            </w:r>
            <w:r w:rsidRPr="002A2E37">
              <w:rPr>
                <w:rFonts w:asciiTheme="minorHAnsi" w:hAnsiTheme="minorHAnsi" w:cs="Arial"/>
                <w:i/>
                <w:color w:val="002060"/>
              </w:rPr>
              <w:t xml:space="preserve">- </w:t>
            </w:r>
            <w:r w:rsidRPr="002A2E37">
              <w:rPr>
                <w:rFonts w:asciiTheme="minorHAnsi" w:hAnsiTheme="minorHAnsi" w:cs="Arial"/>
                <w:b/>
                <w:i/>
                <w:color w:val="002060"/>
              </w:rPr>
              <w:t>The European Recycling Industries’ Confederation</w:t>
            </w:r>
            <w:r w:rsidRPr="002A2E37">
              <w:rPr>
                <w:rFonts w:asciiTheme="minorHAnsi" w:hAnsiTheme="minorHAnsi" w:cs="Arial"/>
                <w:i/>
                <w:color w:val="002060"/>
              </w:rPr>
              <w:t xml:space="preserve"> is the umbrella organisation for recycling industries. Through its Member Federations from 20</w:t>
            </w:r>
            <w:r>
              <w:rPr>
                <w:rFonts w:asciiTheme="minorHAnsi" w:hAnsiTheme="minorHAnsi" w:cs="Arial"/>
                <w:i/>
                <w:color w:val="002060"/>
              </w:rPr>
              <w:t xml:space="preserve"> EU &amp; </w:t>
            </w:r>
            <w:r w:rsidRPr="002A2E37">
              <w:rPr>
                <w:rFonts w:asciiTheme="minorHAnsi" w:hAnsiTheme="minorHAnsi" w:cs="Arial"/>
                <w:i/>
                <w:color w:val="002060"/>
              </w:rPr>
              <w:t xml:space="preserve">EFTA countries, EuRIC represents across Europe over: </w:t>
            </w:r>
          </w:p>
          <w:p w:rsidR="00A434B9" w:rsidRPr="002A2E37" w:rsidRDefault="00A434B9" w:rsidP="00875BDC">
            <w:pPr>
              <w:pStyle w:val="ListParagraph"/>
              <w:numPr>
                <w:ilvl w:val="0"/>
                <w:numId w:val="12"/>
              </w:numPr>
              <w:spacing w:line="259" w:lineRule="auto"/>
              <w:jc w:val="both"/>
              <w:rPr>
                <w:rFonts w:asciiTheme="minorHAnsi" w:hAnsiTheme="minorHAnsi" w:cs="Arial"/>
                <w:i/>
                <w:color w:val="002060"/>
              </w:rPr>
            </w:pPr>
            <w:r w:rsidRPr="002A2E37">
              <w:rPr>
                <w:rFonts w:asciiTheme="minorHAnsi" w:hAnsiTheme="minorHAnsi" w:cs="Arial"/>
                <w:i/>
                <w:color w:val="002060"/>
              </w:rPr>
              <w:t>5,500</w:t>
            </w:r>
            <w:r>
              <w:rPr>
                <w:rFonts w:asciiTheme="minorHAnsi" w:hAnsiTheme="minorHAnsi" w:cs="Arial"/>
                <w:i/>
                <w:color w:val="002060"/>
              </w:rPr>
              <w:t>+</w:t>
            </w:r>
            <w:r w:rsidRPr="002A2E37">
              <w:rPr>
                <w:rFonts w:asciiTheme="minorHAnsi" w:hAnsiTheme="minorHAnsi" w:cs="Arial"/>
                <w:i/>
                <w:color w:val="002060"/>
              </w:rPr>
              <w:t xml:space="preserve"> companies generating an aggregated annual turnover of about 95 billion €, including </w:t>
            </w:r>
          </w:p>
          <w:p w:rsidR="00A434B9" w:rsidRPr="002A2E37" w:rsidRDefault="00A434B9" w:rsidP="00875BDC">
            <w:pPr>
              <w:jc w:val="both"/>
              <w:rPr>
                <w:rFonts w:asciiTheme="minorHAnsi" w:hAnsiTheme="minorHAnsi" w:cs="Arial"/>
                <w:i/>
                <w:color w:val="002060"/>
              </w:rPr>
            </w:pPr>
            <w:proofErr w:type="gramStart"/>
            <w:r w:rsidRPr="002A2E37">
              <w:rPr>
                <w:rFonts w:asciiTheme="minorHAnsi" w:hAnsiTheme="minorHAnsi" w:cs="Arial"/>
                <w:i/>
                <w:color w:val="002060"/>
              </w:rPr>
              <w:t>large  companies</w:t>
            </w:r>
            <w:proofErr w:type="gramEnd"/>
            <w:r w:rsidRPr="002A2E37">
              <w:rPr>
                <w:rFonts w:asciiTheme="minorHAnsi" w:hAnsiTheme="minorHAnsi" w:cs="Arial"/>
                <w:i/>
                <w:color w:val="002060"/>
              </w:rPr>
              <w:t xml:space="preserve">  and  SMEs,  involved  in  the  recycling  and  trade  of  various  resource  streams; </w:t>
            </w:r>
          </w:p>
          <w:p w:rsidR="00A434B9" w:rsidRPr="002A2E37" w:rsidRDefault="00A434B9" w:rsidP="00875BDC">
            <w:pPr>
              <w:pStyle w:val="ListParagraph"/>
              <w:numPr>
                <w:ilvl w:val="0"/>
                <w:numId w:val="12"/>
              </w:numPr>
              <w:spacing w:line="259" w:lineRule="auto"/>
              <w:jc w:val="both"/>
              <w:rPr>
                <w:rFonts w:asciiTheme="minorHAnsi" w:hAnsiTheme="minorHAnsi" w:cs="Arial"/>
                <w:i/>
                <w:color w:val="002060"/>
              </w:rPr>
            </w:pPr>
            <w:r w:rsidRPr="002A2E37">
              <w:rPr>
                <w:rFonts w:asciiTheme="minorHAnsi" w:hAnsiTheme="minorHAnsi" w:cs="Arial"/>
                <w:i/>
                <w:color w:val="002060"/>
              </w:rPr>
              <w:t xml:space="preserve">300,000 local jobs which cannot be outsourced to third EU countries; </w:t>
            </w:r>
          </w:p>
          <w:p w:rsidR="00A434B9" w:rsidRPr="002A2E37" w:rsidRDefault="00A434B9" w:rsidP="00875BDC">
            <w:pPr>
              <w:pStyle w:val="ListParagraph"/>
              <w:numPr>
                <w:ilvl w:val="0"/>
                <w:numId w:val="12"/>
              </w:numPr>
              <w:spacing w:line="259" w:lineRule="auto"/>
              <w:jc w:val="both"/>
              <w:rPr>
                <w:rFonts w:asciiTheme="minorHAnsi" w:hAnsiTheme="minorHAnsi" w:cs="Arial"/>
                <w:i/>
                <w:color w:val="002060"/>
              </w:rPr>
            </w:pPr>
            <w:r w:rsidRPr="002A2E37">
              <w:rPr>
                <w:rFonts w:asciiTheme="minorHAnsi" w:hAnsiTheme="minorHAnsi" w:cs="Arial"/>
                <w:i/>
                <w:color w:val="002060"/>
              </w:rPr>
              <w:t xml:space="preserve">An average of 150 million tons of waste recycled per year (paper, metals, glass, plastics and beyond); </w:t>
            </w:r>
          </w:p>
          <w:p w:rsidR="00A434B9" w:rsidRPr="002A2E37" w:rsidRDefault="00A434B9" w:rsidP="00875BDC">
            <w:pPr>
              <w:pStyle w:val="ListParagraph"/>
              <w:numPr>
                <w:ilvl w:val="0"/>
                <w:numId w:val="12"/>
              </w:numPr>
              <w:spacing w:line="259" w:lineRule="auto"/>
              <w:jc w:val="both"/>
              <w:rPr>
                <w:rFonts w:asciiTheme="minorHAnsi" w:hAnsiTheme="minorHAnsi" w:cs="Arial"/>
                <w:i/>
                <w:color w:val="002060"/>
              </w:rPr>
            </w:pPr>
            <w:r w:rsidRPr="002A2E37">
              <w:rPr>
                <w:rFonts w:asciiTheme="minorHAnsi" w:hAnsiTheme="minorHAnsi" w:cs="Arial"/>
                <w:i/>
                <w:color w:val="002060"/>
              </w:rPr>
              <w:t xml:space="preserve">Recyclers play a key role in a circular economy. </w:t>
            </w:r>
          </w:p>
        </w:tc>
      </w:tr>
    </w:tbl>
    <w:p w:rsidR="00A76DD0" w:rsidRDefault="00A76DD0" w:rsidP="0036150A">
      <w:pPr>
        <w:tabs>
          <w:tab w:val="num" w:pos="720"/>
        </w:tabs>
        <w:autoSpaceDE w:val="0"/>
        <w:autoSpaceDN w:val="0"/>
        <w:adjustRightInd w:val="0"/>
        <w:jc w:val="both"/>
        <w:rPr>
          <w:rFonts w:ascii="Cambria" w:eastAsiaTheme="minorEastAsia" w:hAnsi="Cambria" w:cs="Cambria"/>
          <w:color w:val="002060"/>
          <w:sz w:val="22"/>
          <w:szCs w:val="22"/>
          <w:lang w:eastAsia="fr-FR"/>
        </w:rPr>
      </w:pPr>
    </w:p>
    <w:sectPr w:rsidR="00A76DD0" w:rsidSect="00BA32AB">
      <w:headerReference w:type="default" r:id="rId9"/>
      <w:pgSz w:w="11900" w:h="16840"/>
      <w:pgMar w:top="2126" w:right="1247" w:bottom="1247" w:left="124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2FBD" w:rsidRDefault="00642FBD" w:rsidP="00DC1BBE">
      <w:r>
        <w:separator/>
      </w:r>
    </w:p>
  </w:endnote>
  <w:endnote w:type="continuationSeparator" w:id="0">
    <w:p w:rsidR="00642FBD" w:rsidRDefault="00642FBD" w:rsidP="00DC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2FBD" w:rsidRDefault="00642FBD" w:rsidP="00DC1BBE">
      <w:r>
        <w:separator/>
      </w:r>
    </w:p>
  </w:footnote>
  <w:footnote w:type="continuationSeparator" w:id="0">
    <w:p w:rsidR="00642FBD" w:rsidRDefault="00642FBD" w:rsidP="00DC1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21FF" w:rsidRPr="00255BBF" w:rsidRDefault="00C021FF" w:rsidP="00255BBF">
    <w:pPr>
      <w:pStyle w:val="Header"/>
      <w:jc w:val="right"/>
      <w:rPr>
        <w:rFonts w:ascii="Cambria" w:hAnsi="Cambria"/>
        <w:sz w:val="22"/>
        <w:szCs w:val="22"/>
      </w:rPr>
    </w:pPr>
    <w:r w:rsidRPr="00255BBF">
      <w:rPr>
        <w:rFonts w:ascii="Cambria" w:hAnsi="Cambria"/>
        <w:noProof/>
        <w:color w:val="1F497D" w:themeColor="text2"/>
        <w:sz w:val="22"/>
        <w:szCs w:val="22"/>
        <w:lang w:val="fr-BE" w:eastAsia="fr-BE"/>
      </w:rPr>
      <w:drawing>
        <wp:anchor distT="0" distB="0" distL="0" distR="0" simplePos="0" relativeHeight="251657216" behindDoc="1" locked="0" layoutInCell="1" allowOverlap="1" wp14:anchorId="569C88C0" wp14:editId="3E197195">
          <wp:simplePos x="0" y="0"/>
          <wp:positionH relativeFrom="page">
            <wp:align>left</wp:align>
          </wp:positionH>
          <wp:positionV relativeFrom="page">
            <wp:align>top</wp:align>
          </wp:positionV>
          <wp:extent cx="7558860" cy="10692129"/>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Word2.jpg"/>
                  <pic:cNvPicPr/>
                </pic:nvPicPr>
                <pic:blipFill>
                  <a:blip r:embed="rId1">
                    <a:extLst>
                      <a:ext uri="{28A0092B-C50C-407E-A947-70E740481C1C}">
                        <a14:useLocalDpi xmlns:a14="http://schemas.microsoft.com/office/drawing/2010/main" val="0"/>
                      </a:ext>
                    </a:extLst>
                  </a:blip>
                  <a:stretch>
                    <a:fillRect/>
                  </a:stretch>
                </pic:blipFill>
                <pic:spPr>
                  <a:xfrm>
                    <a:off x="0" y="0"/>
                    <a:ext cx="7558860" cy="1069212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07FBD">
      <w:rPr>
        <w:rFonts w:ascii="Cambria" w:hAnsi="Cambria"/>
        <w:noProof/>
        <w:color w:val="1F497D" w:themeColor="text2"/>
        <w:sz w:val="22"/>
        <w:szCs w:val="22"/>
        <w:lang w:eastAsia="en-GB"/>
      </w:rPr>
      <w:t>November</w:t>
    </w:r>
    <w:r w:rsidRPr="00255BBF">
      <w:rPr>
        <w:rFonts w:ascii="Cambria" w:hAnsi="Cambria"/>
        <w:color w:val="1F497D" w:themeColor="text2"/>
        <w:sz w:val="22"/>
        <w:szCs w:val="22"/>
      </w:rPr>
      <w:t xml:space="preserve"> 201</w:t>
    </w:r>
    <w:r>
      <w:rPr>
        <w:rFonts w:ascii="Cambria" w:hAnsi="Cambria"/>
        <w:color w:val="1F497D" w:themeColor="text2"/>
        <w:sz w:val="22"/>
        <w:szCs w:val="22"/>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E51C1"/>
    <w:multiLevelType w:val="hybridMultilevel"/>
    <w:tmpl w:val="6996330C"/>
    <w:lvl w:ilvl="0" w:tplc="080C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6461"/>
    <w:multiLevelType w:val="hybridMultilevel"/>
    <w:tmpl w:val="6FEC22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65932"/>
    <w:multiLevelType w:val="hybridMultilevel"/>
    <w:tmpl w:val="028E7E94"/>
    <w:lvl w:ilvl="0" w:tplc="5688096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0E74C8"/>
    <w:multiLevelType w:val="hybridMultilevel"/>
    <w:tmpl w:val="D9564C80"/>
    <w:lvl w:ilvl="0" w:tplc="A7C6FCC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F2E5606"/>
    <w:multiLevelType w:val="hybridMultilevel"/>
    <w:tmpl w:val="2AE8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053B8"/>
    <w:multiLevelType w:val="hybridMultilevel"/>
    <w:tmpl w:val="933ABAF8"/>
    <w:lvl w:ilvl="0" w:tplc="C3422C2A">
      <w:start w:val="23"/>
      <w:numFmt w:val="bullet"/>
      <w:lvlText w:val="-"/>
      <w:lvlJc w:val="left"/>
      <w:pPr>
        <w:ind w:left="720" w:hanging="360"/>
      </w:pPr>
      <w:rPr>
        <w:rFonts w:ascii="Cambria" w:eastAsia="Times New Roman" w:hAnsi="Cambr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B477B19"/>
    <w:multiLevelType w:val="hybridMultilevel"/>
    <w:tmpl w:val="F54CF5F0"/>
    <w:lvl w:ilvl="0" w:tplc="080C000D">
      <w:start w:val="1"/>
      <w:numFmt w:val="bullet"/>
      <w:lvlText w:val=""/>
      <w:lvlJc w:val="left"/>
      <w:pPr>
        <w:ind w:left="1080" w:hanging="720"/>
      </w:pPr>
      <w:rPr>
        <w:rFonts w:ascii="Wingdings" w:hAnsi="Wingdings" w:hint="default"/>
        <w:color w:val="244061" w:themeColor="accent1"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8C1D56"/>
    <w:multiLevelType w:val="hybridMultilevel"/>
    <w:tmpl w:val="47805634"/>
    <w:lvl w:ilvl="0" w:tplc="080C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D4243CB"/>
    <w:multiLevelType w:val="hybridMultilevel"/>
    <w:tmpl w:val="400EAA3A"/>
    <w:lvl w:ilvl="0" w:tplc="EEFA8C3A">
      <w:start w:val="1"/>
      <w:numFmt w:val="lowerRoman"/>
      <w:lvlText w:val="%1."/>
      <w:lvlJc w:val="left"/>
      <w:pPr>
        <w:ind w:left="1428" w:hanging="720"/>
      </w:pPr>
      <w:rPr>
        <w:rFonts w:asciiTheme="minorHAnsi" w:eastAsiaTheme="minorEastAsia" w:hAnsiTheme="minorHAnsi" w:cs="Cambria"/>
        <w:b/>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9" w15:restartNumberingAfterBreak="0">
    <w:nsid w:val="3DA05CE6"/>
    <w:multiLevelType w:val="hybridMultilevel"/>
    <w:tmpl w:val="59D012D6"/>
    <w:lvl w:ilvl="0" w:tplc="08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E648E2"/>
    <w:multiLevelType w:val="hybridMultilevel"/>
    <w:tmpl w:val="028E7E94"/>
    <w:lvl w:ilvl="0" w:tplc="5688096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8F034A"/>
    <w:multiLevelType w:val="hybridMultilevel"/>
    <w:tmpl w:val="A0CC2C20"/>
    <w:lvl w:ilvl="0" w:tplc="08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B123A9"/>
    <w:multiLevelType w:val="hybridMultilevel"/>
    <w:tmpl w:val="4BF8C788"/>
    <w:lvl w:ilvl="0" w:tplc="A7C6FCC2">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53390AAD"/>
    <w:multiLevelType w:val="hybridMultilevel"/>
    <w:tmpl w:val="5EB85692"/>
    <w:lvl w:ilvl="0" w:tplc="A7C6FC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12039E"/>
    <w:multiLevelType w:val="hybridMultilevel"/>
    <w:tmpl w:val="FC446DD6"/>
    <w:lvl w:ilvl="0" w:tplc="080C000D">
      <w:start w:val="1"/>
      <w:numFmt w:val="bullet"/>
      <w:lvlText w:val=""/>
      <w:lvlJc w:val="left"/>
      <w:pPr>
        <w:ind w:left="1003"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5" w15:restartNumberingAfterBreak="0">
    <w:nsid w:val="7CA22AED"/>
    <w:multiLevelType w:val="hybridMultilevel"/>
    <w:tmpl w:val="E3C0C82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3"/>
  </w:num>
  <w:num w:numId="4">
    <w:abstractNumId w:val="0"/>
  </w:num>
  <w:num w:numId="5">
    <w:abstractNumId w:val="6"/>
  </w:num>
  <w:num w:numId="6">
    <w:abstractNumId w:val="12"/>
  </w:num>
  <w:num w:numId="7">
    <w:abstractNumId w:val="11"/>
  </w:num>
  <w:num w:numId="8">
    <w:abstractNumId w:val="7"/>
  </w:num>
  <w:num w:numId="9">
    <w:abstractNumId w:val="8"/>
  </w:num>
  <w:num w:numId="10">
    <w:abstractNumId w:val="14"/>
  </w:num>
  <w:num w:numId="11">
    <w:abstractNumId w:val="1"/>
  </w:num>
  <w:num w:numId="12">
    <w:abstractNumId w:val="4"/>
  </w:num>
  <w:num w:numId="13">
    <w:abstractNumId w:val="2"/>
  </w:num>
  <w:num w:numId="14">
    <w:abstractNumId w:val="5"/>
  </w:num>
  <w:num w:numId="15">
    <w:abstractNumId w:val="15"/>
  </w:num>
  <w:num w:numId="1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2AA"/>
    <w:rsid w:val="00000DFC"/>
    <w:rsid w:val="0000242A"/>
    <w:rsid w:val="00002C1D"/>
    <w:rsid w:val="00004C20"/>
    <w:rsid w:val="000104E4"/>
    <w:rsid w:val="00022D0F"/>
    <w:rsid w:val="0003159E"/>
    <w:rsid w:val="000477DD"/>
    <w:rsid w:val="00050697"/>
    <w:rsid w:val="00050DCF"/>
    <w:rsid w:val="00054620"/>
    <w:rsid w:val="00060571"/>
    <w:rsid w:val="00060CE5"/>
    <w:rsid w:val="00075AED"/>
    <w:rsid w:val="00082BDF"/>
    <w:rsid w:val="00083E94"/>
    <w:rsid w:val="000912B1"/>
    <w:rsid w:val="000A0902"/>
    <w:rsid w:val="000A77A5"/>
    <w:rsid w:val="000B2BB0"/>
    <w:rsid w:val="000B4DA2"/>
    <w:rsid w:val="000C0F1C"/>
    <w:rsid w:val="000C2913"/>
    <w:rsid w:val="000D7707"/>
    <w:rsid w:val="00105ED0"/>
    <w:rsid w:val="00106E54"/>
    <w:rsid w:val="00112041"/>
    <w:rsid w:val="001207D0"/>
    <w:rsid w:val="00124387"/>
    <w:rsid w:val="001278D8"/>
    <w:rsid w:val="00145873"/>
    <w:rsid w:val="001529B2"/>
    <w:rsid w:val="00154A8F"/>
    <w:rsid w:val="0016050A"/>
    <w:rsid w:val="00167043"/>
    <w:rsid w:val="001702E6"/>
    <w:rsid w:val="001822BC"/>
    <w:rsid w:val="001837AB"/>
    <w:rsid w:val="00187B39"/>
    <w:rsid w:val="00191E5B"/>
    <w:rsid w:val="00192C0F"/>
    <w:rsid w:val="00194B04"/>
    <w:rsid w:val="001B16A1"/>
    <w:rsid w:val="001F1780"/>
    <w:rsid w:val="00200C57"/>
    <w:rsid w:val="0020174C"/>
    <w:rsid w:val="0020288D"/>
    <w:rsid w:val="00204149"/>
    <w:rsid w:val="002049DA"/>
    <w:rsid w:val="00210325"/>
    <w:rsid w:val="00224DA1"/>
    <w:rsid w:val="00226539"/>
    <w:rsid w:val="00234BBD"/>
    <w:rsid w:val="00235BFD"/>
    <w:rsid w:val="00241067"/>
    <w:rsid w:val="00241505"/>
    <w:rsid w:val="00246016"/>
    <w:rsid w:val="00255BBF"/>
    <w:rsid w:val="00255FF9"/>
    <w:rsid w:val="00256BBB"/>
    <w:rsid w:val="002667CC"/>
    <w:rsid w:val="002715DD"/>
    <w:rsid w:val="002740C9"/>
    <w:rsid w:val="0028140C"/>
    <w:rsid w:val="002904F3"/>
    <w:rsid w:val="00291B40"/>
    <w:rsid w:val="00292EE4"/>
    <w:rsid w:val="00295DB3"/>
    <w:rsid w:val="002A2E37"/>
    <w:rsid w:val="002B751C"/>
    <w:rsid w:val="002C5B2E"/>
    <w:rsid w:val="002D5ECA"/>
    <w:rsid w:val="002F3619"/>
    <w:rsid w:val="002F3E32"/>
    <w:rsid w:val="00304864"/>
    <w:rsid w:val="0033509D"/>
    <w:rsid w:val="00354CCD"/>
    <w:rsid w:val="0036150A"/>
    <w:rsid w:val="00365CAC"/>
    <w:rsid w:val="003749D7"/>
    <w:rsid w:val="003818B6"/>
    <w:rsid w:val="0039722A"/>
    <w:rsid w:val="00397992"/>
    <w:rsid w:val="003A5015"/>
    <w:rsid w:val="003B4BB5"/>
    <w:rsid w:val="003B66C3"/>
    <w:rsid w:val="003B7135"/>
    <w:rsid w:val="003F7E5B"/>
    <w:rsid w:val="00422F88"/>
    <w:rsid w:val="00426A8B"/>
    <w:rsid w:val="004350B1"/>
    <w:rsid w:val="004424C3"/>
    <w:rsid w:val="004624D3"/>
    <w:rsid w:val="00470BA7"/>
    <w:rsid w:val="004B2A6A"/>
    <w:rsid w:val="004C0158"/>
    <w:rsid w:val="004D2DCC"/>
    <w:rsid w:val="004E0D86"/>
    <w:rsid w:val="004E1F7C"/>
    <w:rsid w:val="004E5790"/>
    <w:rsid w:val="004F38BD"/>
    <w:rsid w:val="004F5F8E"/>
    <w:rsid w:val="00507F8F"/>
    <w:rsid w:val="00511B00"/>
    <w:rsid w:val="00520929"/>
    <w:rsid w:val="00525858"/>
    <w:rsid w:val="00525DC3"/>
    <w:rsid w:val="005450CD"/>
    <w:rsid w:val="00550A16"/>
    <w:rsid w:val="00556E14"/>
    <w:rsid w:val="00564E69"/>
    <w:rsid w:val="005656D2"/>
    <w:rsid w:val="005773B9"/>
    <w:rsid w:val="00583682"/>
    <w:rsid w:val="005976AD"/>
    <w:rsid w:val="005B1261"/>
    <w:rsid w:val="005C610D"/>
    <w:rsid w:val="005D3DD1"/>
    <w:rsid w:val="005E091F"/>
    <w:rsid w:val="005E4908"/>
    <w:rsid w:val="005F3EA0"/>
    <w:rsid w:val="005F6840"/>
    <w:rsid w:val="00614EAC"/>
    <w:rsid w:val="00625979"/>
    <w:rsid w:val="00635FC3"/>
    <w:rsid w:val="00642FBD"/>
    <w:rsid w:val="00647468"/>
    <w:rsid w:val="006535E8"/>
    <w:rsid w:val="006554DE"/>
    <w:rsid w:val="00655815"/>
    <w:rsid w:val="0065666A"/>
    <w:rsid w:val="006606AD"/>
    <w:rsid w:val="00661708"/>
    <w:rsid w:val="006642E7"/>
    <w:rsid w:val="0067361D"/>
    <w:rsid w:val="006768FD"/>
    <w:rsid w:val="0068054B"/>
    <w:rsid w:val="0069726A"/>
    <w:rsid w:val="006A2391"/>
    <w:rsid w:val="006B0D15"/>
    <w:rsid w:val="006C2ABB"/>
    <w:rsid w:val="006E60B2"/>
    <w:rsid w:val="006F3899"/>
    <w:rsid w:val="006F456C"/>
    <w:rsid w:val="00700FB6"/>
    <w:rsid w:val="00706EF1"/>
    <w:rsid w:val="00727903"/>
    <w:rsid w:val="0073044E"/>
    <w:rsid w:val="00737DC7"/>
    <w:rsid w:val="00754CF6"/>
    <w:rsid w:val="00757529"/>
    <w:rsid w:val="00781E89"/>
    <w:rsid w:val="007A6865"/>
    <w:rsid w:val="007B48C2"/>
    <w:rsid w:val="007B5DAF"/>
    <w:rsid w:val="007D20A2"/>
    <w:rsid w:val="007D3497"/>
    <w:rsid w:val="007F1C5B"/>
    <w:rsid w:val="008066C2"/>
    <w:rsid w:val="00807FBD"/>
    <w:rsid w:val="0081050B"/>
    <w:rsid w:val="008147EE"/>
    <w:rsid w:val="008173A0"/>
    <w:rsid w:val="00827EB4"/>
    <w:rsid w:val="00840686"/>
    <w:rsid w:val="00841FBE"/>
    <w:rsid w:val="00851803"/>
    <w:rsid w:val="00851B0F"/>
    <w:rsid w:val="00852BAE"/>
    <w:rsid w:val="0087434D"/>
    <w:rsid w:val="00881CF7"/>
    <w:rsid w:val="00882BDC"/>
    <w:rsid w:val="008902C8"/>
    <w:rsid w:val="00890322"/>
    <w:rsid w:val="008952ED"/>
    <w:rsid w:val="00895817"/>
    <w:rsid w:val="008C0B25"/>
    <w:rsid w:val="008D01DC"/>
    <w:rsid w:val="008D4D47"/>
    <w:rsid w:val="008D6B26"/>
    <w:rsid w:val="008F466D"/>
    <w:rsid w:val="008F4E50"/>
    <w:rsid w:val="009130FE"/>
    <w:rsid w:val="009224E5"/>
    <w:rsid w:val="00924FB5"/>
    <w:rsid w:val="0092532F"/>
    <w:rsid w:val="009443F1"/>
    <w:rsid w:val="0094598F"/>
    <w:rsid w:val="009627DD"/>
    <w:rsid w:val="009637D7"/>
    <w:rsid w:val="00971554"/>
    <w:rsid w:val="009859C2"/>
    <w:rsid w:val="00993806"/>
    <w:rsid w:val="009A153E"/>
    <w:rsid w:val="009A1B73"/>
    <w:rsid w:val="009A29B4"/>
    <w:rsid w:val="009A2CB1"/>
    <w:rsid w:val="009A4A09"/>
    <w:rsid w:val="009A6CB0"/>
    <w:rsid w:val="009C2114"/>
    <w:rsid w:val="009E61F9"/>
    <w:rsid w:val="00A014C3"/>
    <w:rsid w:val="00A12F28"/>
    <w:rsid w:val="00A13E54"/>
    <w:rsid w:val="00A177C3"/>
    <w:rsid w:val="00A3170E"/>
    <w:rsid w:val="00A434B9"/>
    <w:rsid w:val="00A53ABF"/>
    <w:rsid w:val="00A55F12"/>
    <w:rsid w:val="00A65C6B"/>
    <w:rsid w:val="00A700E3"/>
    <w:rsid w:val="00A76DD0"/>
    <w:rsid w:val="00A8185C"/>
    <w:rsid w:val="00A87F28"/>
    <w:rsid w:val="00A912AD"/>
    <w:rsid w:val="00A94806"/>
    <w:rsid w:val="00AA145F"/>
    <w:rsid w:val="00AC0263"/>
    <w:rsid w:val="00AD4187"/>
    <w:rsid w:val="00AE63CF"/>
    <w:rsid w:val="00AF1377"/>
    <w:rsid w:val="00B0283C"/>
    <w:rsid w:val="00B20805"/>
    <w:rsid w:val="00B24349"/>
    <w:rsid w:val="00B316B9"/>
    <w:rsid w:val="00B3196F"/>
    <w:rsid w:val="00B3512D"/>
    <w:rsid w:val="00B4693A"/>
    <w:rsid w:val="00B574E1"/>
    <w:rsid w:val="00B732AA"/>
    <w:rsid w:val="00B918E2"/>
    <w:rsid w:val="00B96062"/>
    <w:rsid w:val="00BA1FE7"/>
    <w:rsid w:val="00BA32AB"/>
    <w:rsid w:val="00BA487E"/>
    <w:rsid w:val="00BA7773"/>
    <w:rsid w:val="00BE09B4"/>
    <w:rsid w:val="00BE38CC"/>
    <w:rsid w:val="00BE446A"/>
    <w:rsid w:val="00BE576D"/>
    <w:rsid w:val="00BE6A05"/>
    <w:rsid w:val="00BF6C3B"/>
    <w:rsid w:val="00C021FF"/>
    <w:rsid w:val="00C114CA"/>
    <w:rsid w:val="00C12385"/>
    <w:rsid w:val="00C457EA"/>
    <w:rsid w:val="00C50BDD"/>
    <w:rsid w:val="00C623E1"/>
    <w:rsid w:val="00C62996"/>
    <w:rsid w:val="00C64ECD"/>
    <w:rsid w:val="00C71CA4"/>
    <w:rsid w:val="00C95DFF"/>
    <w:rsid w:val="00CA1417"/>
    <w:rsid w:val="00CA4871"/>
    <w:rsid w:val="00CB1216"/>
    <w:rsid w:val="00CC06B9"/>
    <w:rsid w:val="00CC469B"/>
    <w:rsid w:val="00CC6248"/>
    <w:rsid w:val="00CC7AB2"/>
    <w:rsid w:val="00CD05B3"/>
    <w:rsid w:val="00CD6DB5"/>
    <w:rsid w:val="00CE031F"/>
    <w:rsid w:val="00CE6A3E"/>
    <w:rsid w:val="00CF15D9"/>
    <w:rsid w:val="00CF620B"/>
    <w:rsid w:val="00D00E00"/>
    <w:rsid w:val="00D01391"/>
    <w:rsid w:val="00D0771D"/>
    <w:rsid w:val="00D1358C"/>
    <w:rsid w:val="00D30A62"/>
    <w:rsid w:val="00D3282C"/>
    <w:rsid w:val="00D409B0"/>
    <w:rsid w:val="00D4372A"/>
    <w:rsid w:val="00D50CFB"/>
    <w:rsid w:val="00D74CD2"/>
    <w:rsid w:val="00D76861"/>
    <w:rsid w:val="00D8440A"/>
    <w:rsid w:val="00D85389"/>
    <w:rsid w:val="00D85943"/>
    <w:rsid w:val="00D87AE1"/>
    <w:rsid w:val="00D90485"/>
    <w:rsid w:val="00D929B4"/>
    <w:rsid w:val="00D93235"/>
    <w:rsid w:val="00D964F7"/>
    <w:rsid w:val="00DA416B"/>
    <w:rsid w:val="00DA5E18"/>
    <w:rsid w:val="00DC1BBE"/>
    <w:rsid w:val="00DD0472"/>
    <w:rsid w:val="00DF1CCE"/>
    <w:rsid w:val="00DF774F"/>
    <w:rsid w:val="00E00B61"/>
    <w:rsid w:val="00E02A24"/>
    <w:rsid w:val="00E10EA5"/>
    <w:rsid w:val="00E1586A"/>
    <w:rsid w:val="00E313E8"/>
    <w:rsid w:val="00E46B2A"/>
    <w:rsid w:val="00E66B97"/>
    <w:rsid w:val="00E73E24"/>
    <w:rsid w:val="00E7551D"/>
    <w:rsid w:val="00E87249"/>
    <w:rsid w:val="00EA0A4D"/>
    <w:rsid w:val="00EA1D3C"/>
    <w:rsid w:val="00EA48EF"/>
    <w:rsid w:val="00EA761F"/>
    <w:rsid w:val="00EB4D13"/>
    <w:rsid w:val="00EC0D1F"/>
    <w:rsid w:val="00EC1F32"/>
    <w:rsid w:val="00ED038C"/>
    <w:rsid w:val="00ED5631"/>
    <w:rsid w:val="00F03849"/>
    <w:rsid w:val="00F15AE5"/>
    <w:rsid w:val="00F16C60"/>
    <w:rsid w:val="00F31835"/>
    <w:rsid w:val="00F33D09"/>
    <w:rsid w:val="00F5415D"/>
    <w:rsid w:val="00F70957"/>
    <w:rsid w:val="00F7097C"/>
    <w:rsid w:val="00F8564F"/>
    <w:rsid w:val="00F91521"/>
    <w:rsid w:val="00F96ED4"/>
    <w:rsid w:val="00FB0BB9"/>
    <w:rsid w:val="00FB4FE8"/>
    <w:rsid w:val="00FC001F"/>
    <w:rsid w:val="00FC34DA"/>
    <w:rsid w:val="00FC7368"/>
    <w:rsid w:val="00FD072E"/>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7B340C"/>
  <w15:docId w15:val="{33F52D61-7038-4651-9A9A-3265EE0C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415D"/>
    <w:rPr>
      <w:rFonts w:ascii="Times New Roman" w:eastAsia="Times New Roman" w:hAnsi="Times New Roman" w:cs="Times New Roman"/>
      <w:sz w:val="20"/>
      <w:szCs w:val="20"/>
      <w:lang w:val="en-GB" w:eastAsia="en-US"/>
    </w:rPr>
  </w:style>
  <w:style w:type="paragraph" w:styleId="Heading1">
    <w:name w:val="heading 1"/>
    <w:basedOn w:val="Normal"/>
    <w:next w:val="Normal"/>
    <w:link w:val="Heading1Char"/>
    <w:uiPriority w:val="9"/>
    <w:qFormat/>
    <w:rsid w:val="000477D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BE"/>
    <w:pPr>
      <w:tabs>
        <w:tab w:val="center" w:pos="4536"/>
        <w:tab w:val="right" w:pos="9072"/>
      </w:tabs>
    </w:pPr>
  </w:style>
  <w:style w:type="character" w:customStyle="1" w:styleId="HeaderChar">
    <w:name w:val="Header Char"/>
    <w:basedOn w:val="DefaultParagraphFont"/>
    <w:link w:val="Header"/>
    <w:uiPriority w:val="99"/>
    <w:rsid w:val="00DC1BBE"/>
  </w:style>
  <w:style w:type="paragraph" w:styleId="Footer">
    <w:name w:val="footer"/>
    <w:basedOn w:val="Normal"/>
    <w:link w:val="FooterChar"/>
    <w:uiPriority w:val="99"/>
    <w:unhideWhenUsed/>
    <w:rsid w:val="00DC1BBE"/>
    <w:pPr>
      <w:tabs>
        <w:tab w:val="center" w:pos="4536"/>
        <w:tab w:val="right" w:pos="9072"/>
      </w:tabs>
    </w:pPr>
  </w:style>
  <w:style w:type="character" w:customStyle="1" w:styleId="FooterChar">
    <w:name w:val="Footer Char"/>
    <w:basedOn w:val="DefaultParagraphFont"/>
    <w:link w:val="Footer"/>
    <w:uiPriority w:val="99"/>
    <w:rsid w:val="00DC1BBE"/>
  </w:style>
  <w:style w:type="character" w:customStyle="1" w:styleId="Heading1Char">
    <w:name w:val="Heading 1 Char"/>
    <w:basedOn w:val="DefaultParagraphFont"/>
    <w:link w:val="Heading1"/>
    <w:uiPriority w:val="9"/>
    <w:rsid w:val="000477DD"/>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0477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77DD"/>
    <w:rPr>
      <w:rFonts w:ascii="Lucida Grande" w:hAnsi="Lucida Grande" w:cs="Lucida Grande"/>
      <w:sz w:val="18"/>
      <w:szCs w:val="18"/>
    </w:rPr>
  </w:style>
  <w:style w:type="paragraph" w:styleId="ListParagraph">
    <w:name w:val="List Paragraph"/>
    <w:basedOn w:val="Normal"/>
    <w:uiPriority w:val="34"/>
    <w:qFormat/>
    <w:rsid w:val="00F5415D"/>
    <w:pPr>
      <w:ind w:left="720"/>
      <w:contextualSpacing/>
    </w:pPr>
  </w:style>
  <w:style w:type="character" w:styleId="Hyperlink">
    <w:name w:val="Hyperlink"/>
    <w:basedOn w:val="DefaultParagraphFont"/>
    <w:uiPriority w:val="99"/>
    <w:unhideWhenUsed/>
    <w:rsid w:val="005E4908"/>
    <w:rPr>
      <w:color w:val="0000FF" w:themeColor="hyperlink"/>
      <w:u w:val="single"/>
    </w:rPr>
  </w:style>
  <w:style w:type="character" w:styleId="FollowedHyperlink">
    <w:name w:val="FollowedHyperlink"/>
    <w:basedOn w:val="DefaultParagraphFont"/>
    <w:uiPriority w:val="99"/>
    <w:semiHidden/>
    <w:unhideWhenUsed/>
    <w:rsid w:val="005E4908"/>
    <w:rPr>
      <w:color w:val="800080" w:themeColor="followedHyperlink"/>
      <w:u w:val="single"/>
    </w:rPr>
  </w:style>
  <w:style w:type="paragraph" w:styleId="PlainText">
    <w:name w:val="Plain Text"/>
    <w:basedOn w:val="Normal"/>
    <w:link w:val="PlainTextChar"/>
    <w:uiPriority w:val="99"/>
    <w:unhideWhenUsed/>
    <w:rsid w:val="00246016"/>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246016"/>
    <w:rPr>
      <w:rFonts w:ascii="Calibri" w:eastAsiaTheme="minorHAnsi" w:hAnsi="Calibri" w:cs="Consolas"/>
      <w:sz w:val="22"/>
      <w:szCs w:val="21"/>
      <w:lang w:val="en-GB" w:eastAsia="en-US"/>
    </w:rPr>
  </w:style>
  <w:style w:type="paragraph" w:customStyle="1" w:styleId="Default">
    <w:name w:val="Default"/>
    <w:rsid w:val="00167043"/>
    <w:pPr>
      <w:autoSpaceDE w:val="0"/>
      <w:autoSpaceDN w:val="0"/>
      <w:adjustRightInd w:val="0"/>
    </w:pPr>
    <w:rPr>
      <w:rFonts w:ascii="Times New Roman" w:hAnsi="Times New Roman" w:cs="Times New Roman"/>
      <w:color w:val="000000"/>
      <w:lang w:val="sk-SK"/>
    </w:rPr>
  </w:style>
  <w:style w:type="paragraph" w:styleId="FootnoteText">
    <w:name w:val="footnote text"/>
    <w:basedOn w:val="Normal"/>
    <w:link w:val="FootnoteTextChar"/>
    <w:uiPriority w:val="99"/>
    <w:semiHidden/>
    <w:unhideWhenUsed/>
    <w:rsid w:val="00D3282C"/>
  </w:style>
  <w:style w:type="character" w:customStyle="1" w:styleId="FootnoteTextChar">
    <w:name w:val="Footnote Text Char"/>
    <w:basedOn w:val="DefaultParagraphFont"/>
    <w:link w:val="FootnoteText"/>
    <w:uiPriority w:val="99"/>
    <w:semiHidden/>
    <w:rsid w:val="00D3282C"/>
    <w:rPr>
      <w:rFonts w:ascii="Times New Roman" w:eastAsia="Times New Roman" w:hAnsi="Times New Roman" w:cs="Times New Roman"/>
      <w:sz w:val="20"/>
      <w:szCs w:val="20"/>
      <w:lang w:val="en-GB" w:eastAsia="en-US"/>
    </w:rPr>
  </w:style>
  <w:style w:type="character" w:styleId="FootnoteReference">
    <w:name w:val="footnote reference"/>
    <w:basedOn w:val="DefaultParagraphFont"/>
    <w:uiPriority w:val="99"/>
    <w:semiHidden/>
    <w:unhideWhenUsed/>
    <w:rsid w:val="00D3282C"/>
    <w:rPr>
      <w:vertAlign w:val="superscript"/>
    </w:rPr>
  </w:style>
  <w:style w:type="table" w:styleId="TableGrid">
    <w:name w:val="Table Grid"/>
    <w:basedOn w:val="TableNormal"/>
    <w:uiPriority w:val="39"/>
    <w:rsid w:val="00E31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07D0"/>
    <w:rPr>
      <w:sz w:val="16"/>
      <w:szCs w:val="16"/>
    </w:rPr>
  </w:style>
  <w:style w:type="paragraph" w:styleId="CommentText">
    <w:name w:val="annotation text"/>
    <w:basedOn w:val="Normal"/>
    <w:link w:val="CommentTextChar"/>
    <w:uiPriority w:val="99"/>
    <w:semiHidden/>
    <w:unhideWhenUsed/>
    <w:rsid w:val="001207D0"/>
  </w:style>
  <w:style w:type="character" w:customStyle="1" w:styleId="CommentTextChar">
    <w:name w:val="Comment Text Char"/>
    <w:basedOn w:val="DefaultParagraphFont"/>
    <w:link w:val="CommentText"/>
    <w:uiPriority w:val="99"/>
    <w:semiHidden/>
    <w:rsid w:val="001207D0"/>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1207D0"/>
    <w:rPr>
      <w:b/>
      <w:bCs/>
    </w:rPr>
  </w:style>
  <w:style w:type="character" w:customStyle="1" w:styleId="CommentSubjectChar">
    <w:name w:val="Comment Subject Char"/>
    <w:basedOn w:val="CommentTextChar"/>
    <w:link w:val="CommentSubject"/>
    <w:uiPriority w:val="99"/>
    <w:semiHidden/>
    <w:rsid w:val="001207D0"/>
    <w:rPr>
      <w:rFonts w:ascii="Times New Roman" w:eastAsia="Times New Roman" w:hAnsi="Times New Roman"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25315">
      <w:bodyDiv w:val="1"/>
      <w:marLeft w:val="0"/>
      <w:marRight w:val="0"/>
      <w:marTop w:val="0"/>
      <w:marBottom w:val="0"/>
      <w:divBdr>
        <w:top w:val="none" w:sz="0" w:space="0" w:color="auto"/>
        <w:left w:val="none" w:sz="0" w:space="0" w:color="auto"/>
        <w:bottom w:val="none" w:sz="0" w:space="0" w:color="auto"/>
        <w:right w:val="none" w:sz="0" w:space="0" w:color="auto"/>
      </w:divBdr>
    </w:div>
    <w:div w:id="304556162">
      <w:bodyDiv w:val="1"/>
      <w:marLeft w:val="0"/>
      <w:marRight w:val="0"/>
      <w:marTop w:val="0"/>
      <w:marBottom w:val="0"/>
      <w:divBdr>
        <w:top w:val="none" w:sz="0" w:space="0" w:color="auto"/>
        <w:left w:val="none" w:sz="0" w:space="0" w:color="auto"/>
        <w:bottom w:val="none" w:sz="0" w:space="0" w:color="auto"/>
        <w:right w:val="none" w:sz="0" w:space="0" w:color="auto"/>
      </w:divBdr>
    </w:div>
    <w:div w:id="460853012">
      <w:bodyDiv w:val="1"/>
      <w:marLeft w:val="0"/>
      <w:marRight w:val="0"/>
      <w:marTop w:val="0"/>
      <w:marBottom w:val="0"/>
      <w:divBdr>
        <w:top w:val="none" w:sz="0" w:space="0" w:color="auto"/>
        <w:left w:val="none" w:sz="0" w:space="0" w:color="auto"/>
        <w:bottom w:val="none" w:sz="0" w:space="0" w:color="auto"/>
        <w:right w:val="none" w:sz="0" w:space="0" w:color="auto"/>
      </w:divBdr>
    </w:div>
    <w:div w:id="640427011">
      <w:bodyDiv w:val="1"/>
      <w:marLeft w:val="0"/>
      <w:marRight w:val="0"/>
      <w:marTop w:val="0"/>
      <w:marBottom w:val="0"/>
      <w:divBdr>
        <w:top w:val="none" w:sz="0" w:space="0" w:color="auto"/>
        <w:left w:val="none" w:sz="0" w:space="0" w:color="auto"/>
        <w:bottom w:val="none" w:sz="0" w:space="0" w:color="auto"/>
        <w:right w:val="none" w:sz="0" w:space="0" w:color="auto"/>
      </w:divBdr>
      <w:divsChild>
        <w:div w:id="1389911131">
          <w:marLeft w:val="403"/>
          <w:marRight w:val="0"/>
          <w:marTop w:val="125"/>
          <w:marBottom w:val="0"/>
          <w:divBdr>
            <w:top w:val="none" w:sz="0" w:space="0" w:color="auto"/>
            <w:left w:val="none" w:sz="0" w:space="0" w:color="auto"/>
            <w:bottom w:val="none" w:sz="0" w:space="0" w:color="auto"/>
            <w:right w:val="none" w:sz="0" w:space="0" w:color="auto"/>
          </w:divBdr>
        </w:div>
      </w:divsChild>
    </w:div>
    <w:div w:id="654189187">
      <w:bodyDiv w:val="1"/>
      <w:marLeft w:val="0"/>
      <w:marRight w:val="0"/>
      <w:marTop w:val="0"/>
      <w:marBottom w:val="0"/>
      <w:divBdr>
        <w:top w:val="none" w:sz="0" w:space="0" w:color="auto"/>
        <w:left w:val="none" w:sz="0" w:space="0" w:color="auto"/>
        <w:bottom w:val="none" w:sz="0" w:space="0" w:color="auto"/>
        <w:right w:val="none" w:sz="0" w:space="0" w:color="auto"/>
      </w:divBdr>
    </w:div>
    <w:div w:id="659701252">
      <w:bodyDiv w:val="1"/>
      <w:marLeft w:val="0"/>
      <w:marRight w:val="0"/>
      <w:marTop w:val="0"/>
      <w:marBottom w:val="0"/>
      <w:divBdr>
        <w:top w:val="none" w:sz="0" w:space="0" w:color="auto"/>
        <w:left w:val="none" w:sz="0" w:space="0" w:color="auto"/>
        <w:bottom w:val="none" w:sz="0" w:space="0" w:color="auto"/>
        <w:right w:val="none" w:sz="0" w:space="0" w:color="auto"/>
      </w:divBdr>
    </w:div>
    <w:div w:id="916552389">
      <w:bodyDiv w:val="1"/>
      <w:marLeft w:val="0"/>
      <w:marRight w:val="0"/>
      <w:marTop w:val="0"/>
      <w:marBottom w:val="0"/>
      <w:divBdr>
        <w:top w:val="none" w:sz="0" w:space="0" w:color="auto"/>
        <w:left w:val="none" w:sz="0" w:space="0" w:color="auto"/>
        <w:bottom w:val="none" w:sz="0" w:space="0" w:color="auto"/>
        <w:right w:val="none" w:sz="0" w:space="0" w:color="auto"/>
      </w:divBdr>
    </w:div>
    <w:div w:id="992762122">
      <w:bodyDiv w:val="1"/>
      <w:marLeft w:val="0"/>
      <w:marRight w:val="0"/>
      <w:marTop w:val="0"/>
      <w:marBottom w:val="0"/>
      <w:divBdr>
        <w:top w:val="none" w:sz="0" w:space="0" w:color="auto"/>
        <w:left w:val="none" w:sz="0" w:space="0" w:color="auto"/>
        <w:bottom w:val="none" w:sz="0" w:space="0" w:color="auto"/>
        <w:right w:val="none" w:sz="0" w:space="0" w:color="auto"/>
      </w:divBdr>
    </w:div>
    <w:div w:id="997466923">
      <w:bodyDiv w:val="1"/>
      <w:marLeft w:val="0"/>
      <w:marRight w:val="0"/>
      <w:marTop w:val="0"/>
      <w:marBottom w:val="0"/>
      <w:divBdr>
        <w:top w:val="none" w:sz="0" w:space="0" w:color="auto"/>
        <w:left w:val="none" w:sz="0" w:space="0" w:color="auto"/>
        <w:bottom w:val="none" w:sz="0" w:space="0" w:color="auto"/>
        <w:right w:val="none" w:sz="0" w:space="0" w:color="auto"/>
      </w:divBdr>
    </w:div>
    <w:div w:id="1022128075">
      <w:bodyDiv w:val="1"/>
      <w:marLeft w:val="0"/>
      <w:marRight w:val="0"/>
      <w:marTop w:val="0"/>
      <w:marBottom w:val="0"/>
      <w:divBdr>
        <w:top w:val="none" w:sz="0" w:space="0" w:color="auto"/>
        <w:left w:val="none" w:sz="0" w:space="0" w:color="auto"/>
        <w:bottom w:val="none" w:sz="0" w:space="0" w:color="auto"/>
        <w:right w:val="none" w:sz="0" w:space="0" w:color="auto"/>
      </w:divBdr>
    </w:div>
    <w:div w:id="1042095467">
      <w:bodyDiv w:val="1"/>
      <w:marLeft w:val="0"/>
      <w:marRight w:val="0"/>
      <w:marTop w:val="0"/>
      <w:marBottom w:val="0"/>
      <w:divBdr>
        <w:top w:val="none" w:sz="0" w:space="0" w:color="auto"/>
        <w:left w:val="none" w:sz="0" w:space="0" w:color="auto"/>
        <w:bottom w:val="none" w:sz="0" w:space="0" w:color="auto"/>
        <w:right w:val="none" w:sz="0" w:space="0" w:color="auto"/>
      </w:divBdr>
    </w:div>
    <w:div w:id="1081021426">
      <w:bodyDiv w:val="1"/>
      <w:marLeft w:val="0"/>
      <w:marRight w:val="0"/>
      <w:marTop w:val="0"/>
      <w:marBottom w:val="0"/>
      <w:divBdr>
        <w:top w:val="none" w:sz="0" w:space="0" w:color="auto"/>
        <w:left w:val="none" w:sz="0" w:space="0" w:color="auto"/>
        <w:bottom w:val="none" w:sz="0" w:space="0" w:color="auto"/>
        <w:right w:val="none" w:sz="0" w:space="0" w:color="auto"/>
      </w:divBdr>
    </w:div>
    <w:div w:id="1172796901">
      <w:bodyDiv w:val="1"/>
      <w:marLeft w:val="0"/>
      <w:marRight w:val="0"/>
      <w:marTop w:val="0"/>
      <w:marBottom w:val="0"/>
      <w:divBdr>
        <w:top w:val="none" w:sz="0" w:space="0" w:color="auto"/>
        <w:left w:val="none" w:sz="0" w:space="0" w:color="auto"/>
        <w:bottom w:val="none" w:sz="0" w:space="0" w:color="auto"/>
        <w:right w:val="none" w:sz="0" w:space="0" w:color="auto"/>
      </w:divBdr>
    </w:div>
    <w:div w:id="1243756641">
      <w:bodyDiv w:val="1"/>
      <w:marLeft w:val="0"/>
      <w:marRight w:val="0"/>
      <w:marTop w:val="0"/>
      <w:marBottom w:val="0"/>
      <w:divBdr>
        <w:top w:val="none" w:sz="0" w:space="0" w:color="auto"/>
        <w:left w:val="none" w:sz="0" w:space="0" w:color="auto"/>
        <w:bottom w:val="none" w:sz="0" w:space="0" w:color="auto"/>
        <w:right w:val="none" w:sz="0" w:space="0" w:color="auto"/>
      </w:divBdr>
    </w:div>
    <w:div w:id="1419861041">
      <w:bodyDiv w:val="1"/>
      <w:marLeft w:val="0"/>
      <w:marRight w:val="0"/>
      <w:marTop w:val="0"/>
      <w:marBottom w:val="0"/>
      <w:divBdr>
        <w:top w:val="none" w:sz="0" w:space="0" w:color="auto"/>
        <w:left w:val="none" w:sz="0" w:space="0" w:color="auto"/>
        <w:bottom w:val="none" w:sz="0" w:space="0" w:color="auto"/>
        <w:right w:val="none" w:sz="0" w:space="0" w:color="auto"/>
      </w:divBdr>
    </w:div>
    <w:div w:id="1438790481">
      <w:bodyDiv w:val="1"/>
      <w:marLeft w:val="0"/>
      <w:marRight w:val="0"/>
      <w:marTop w:val="0"/>
      <w:marBottom w:val="0"/>
      <w:divBdr>
        <w:top w:val="none" w:sz="0" w:space="0" w:color="auto"/>
        <w:left w:val="none" w:sz="0" w:space="0" w:color="auto"/>
        <w:bottom w:val="none" w:sz="0" w:space="0" w:color="auto"/>
        <w:right w:val="none" w:sz="0" w:space="0" w:color="auto"/>
      </w:divBdr>
    </w:div>
    <w:div w:id="1738434270">
      <w:bodyDiv w:val="1"/>
      <w:marLeft w:val="0"/>
      <w:marRight w:val="0"/>
      <w:marTop w:val="0"/>
      <w:marBottom w:val="0"/>
      <w:divBdr>
        <w:top w:val="none" w:sz="0" w:space="0" w:color="auto"/>
        <w:left w:val="none" w:sz="0" w:space="0" w:color="auto"/>
        <w:bottom w:val="none" w:sz="0" w:space="0" w:color="auto"/>
        <w:right w:val="none" w:sz="0" w:space="0" w:color="auto"/>
      </w:divBdr>
    </w:div>
    <w:div w:id="1747993970">
      <w:bodyDiv w:val="1"/>
      <w:marLeft w:val="0"/>
      <w:marRight w:val="0"/>
      <w:marTop w:val="0"/>
      <w:marBottom w:val="0"/>
      <w:divBdr>
        <w:top w:val="none" w:sz="0" w:space="0" w:color="auto"/>
        <w:left w:val="none" w:sz="0" w:space="0" w:color="auto"/>
        <w:bottom w:val="none" w:sz="0" w:space="0" w:color="auto"/>
        <w:right w:val="none" w:sz="0" w:space="0" w:color="auto"/>
      </w:divBdr>
      <w:divsChild>
        <w:div w:id="313026813">
          <w:marLeft w:val="547"/>
          <w:marRight w:val="0"/>
          <w:marTop w:val="0"/>
          <w:marBottom w:val="0"/>
          <w:divBdr>
            <w:top w:val="none" w:sz="0" w:space="0" w:color="auto"/>
            <w:left w:val="none" w:sz="0" w:space="0" w:color="auto"/>
            <w:bottom w:val="none" w:sz="0" w:space="0" w:color="auto"/>
            <w:right w:val="none" w:sz="0" w:space="0" w:color="auto"/>
          </w:divBdr>
        </w:div>
      </w:divsChild>
    </w:div>
    <w:div w:id="1842743075">
      <w:bodyDiv w:val="1"/>
      <w:marLeft w:val="0"/>
      <w:marRight w:val="0"/>
      <w:marTop w:val="0"/>
      <w:marBottom w:val="0"/>
      <w:divBdr>
        <w:top w:val="none" w:sz="0" w:space="0" w:color="auto"/>
        <w:left w:val="none" w:sz="0" w:space="0" w:color="auto"/>
        <w:bottom w:val="none" w:sz="0" w:space="0" w:color="auto"/>
        <w:right w:val="none" w:sz="0" w:space="0" w:color="auto"/>
      </w:divBdr>
      <w:divsChild>
        <w:div w:id="207649460">
          <w:marLeft w:val="403"/>
          <w:marRight w:val="0"/>
          <w:marTop w:val="125"/>
          <w:marBottom w:val="0"/>
          <w:divBdr>
            <w:top w:val="none" w:sz="0" w:space="0" w:color="auto"/>
            <w:left w:val="none" w:sz="0" w:space="0" w:color="auto"/>
            <w:bottom w:val="none" w:sz="0" w:space="0" w:color="auto"/>
            <w:right w:val="none" w:sz="0" w:space="0" w:color="auto"/>
          </w:divBdr>
        </w:div>
      </w:divsChild>
    </w:div>
    <w:div w:id="1963070659">
      <w:bodyDiv w:val="1"/>
      <w:marLeft w:val="0"/>
      <w:marRight w:val="0"/>
      <w:marTop w:val="0"/>
      <w:marBottom w:val="0"/>
      <w:divBdr>
        <w:top w:val="none" w:sz="0" w:space="0" w:color="auto"/>
        <w:left w:val="none" w:sz="0" w:space="0" w:color="auto"/>
        <w:bottom w:val="none" w:sz="0" w:space="0" w:color="auto"/>
        <w:right w:val="none" w:sz="0" w:space="0" w:color="auto"/>
      </w:divBdr>
    </w:div>
    <w:div w:id="21071860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ic-aisbl.e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akise\Desktop\Communication\Template%20Documents\Word\EuRIC%20Templates\Modele%20Euric6.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F19DB-D80B-4566-90E9-CB5BEEF0C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Euric6</Template>
  <TotalTime>0</TotalTime>
  <Pages>2</Pages>
  <Words>677</Words>
  <Characters>3863</Characters>
  <Application>Microsoft Office Word</Application>
  <DocSecurity>0</DocSecurity>
  <Lines>32</Lines>
  <Paragraphs>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Wysiswyg</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Katrakis</dc:creator>
  <cp:keywords/>
  <dc:description/>
  <cp:lastModifiedBy>Peter</cp:lastModifiedBy>
  <cp:revision>2</cp:revision>
  <cp:lastPrinted>2017-03-08T11:43:00Z</cp:lastPrinted>
  <dcterms:created xsi:type="dcterms:W3CDTF">2017-11-24T15:20:00Z</dcterms:created>
  <dcterms:modified xsi:type="dcterms:W3CDTF">2017-11-24T15:20:00Z</dcterms:modified>
</cp:coreProperties>
</file>